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920"/>
        <w:jc w:val="left"/>
      </w:pPr>
      <w:r>
        <w:t>Anti Chaos Practitioner Curriculum</w:t>
      </w:r>
    </w:p>
    <w:p>
      <w:pPr>
        <w:spacing w:before="86" w:after="173"/>
        <w:jc w:val="center"/>
      </w:pPr>
      <w:r>
        <w:drawing>
          <wp:inline xmlns:a="http://schemas.openxmlformats.org/drawingml/2006/main" xmlns:pic="http://schemas.openxmlformats.org/drawingml/2006/picture">
            <wp:extent cx="3840480" cy="2560320"/>
            <wp:docPr id="1" name="Picture 1" descr="A small practitioner cohort studies a glowing network atlas under a brass desk lamp." title="Anti Chaos Curriculum"/>
            <wp:cNvGraphicFramePr>
              <a:graphicFrameLocks noChangeAspect="1"/>
            </wp:cNvGraphicFramePr>
            <a:graphic>
              <a:graphicData uri="http://schemas.openxmlformats.org/drawingml/2006/picture">
                <pic:pic>
                  <pic:nvPicPr>
                    <pic:cNvPr id="0" name="anti-chaos-curriculum.jpg"/>
                    <pic:cNvPicPr/>
                  </pic:nvPicPr>
                  <pic:blipFill>
                    <a:blip r:embed="rId10"/>
                    <a:stretch>
                      <a:fillRect/>
                    </a:stretch>
                  </pic:blipFill>
                  <pic:spPr>
                    <a:xfrm>
                      <a:off x="0" y="0"/>
                      <a:ext cx="3840480" cy="2560320"/>
                    </a:xfrm>
                    <a:prstGeom prst="rect"/>
                  </pic:spPr>
                </pic:pic>
              </a:graphicData>
            </a:graphic>
          </wp:inline>
        </w:drawing>
      </w:r>
    </w:p>
    <w:p>
      <w:pPr>
        <w:spacing w:after="400"/>
      </w:pPr>
      <w:r>
        <w:rPr>
          <w:color w:val="18324B"/>
          <w:sz w:val="30"/>
        </w:rPr>
        <w:t>A field-ready course for reducing confusion, protecting agency, and improving response across people and networks</w:t>
      </w:r>
    </w:p>
    <w:p>
      <w:pPr>
        <w:spacing w:after="60"/>
      </w:pPr>
      <w:r>
        <w:rPr>
          <w:color w:val="444444"/>
          <w:sz w:val="20"/>
        </w:rPr>
        <w:t>Instructor and implementation edition</w:t>
      </w:r>
    </w:p>
    <w:p>
      <w:pPr>
        <w:spacing w:after="60"/>
      </w:pPr>
      <w:r>
        <w:t>Nine modules • 18–27 guided hours • individual or cohort delivery</w:t>
      </w:r>
    </w:p>
    <w:p>
      <w:pPr>
        <w:spacing w:after="60"/>
      </w:pPr>
      <w:r>
        <w:rPr>
          <w:color w:val="444444"/>
          <w:sz w:val="20"/>
        </w:rPr>
        <w:t>Built from the Hornbook The Unseen War working manuscript</w:t>
      </w:r>
    </w:p>
    <w:p>
      <w:pPr>
        <w:spacing w:after="60"/>
      </w:pPr>
      <w:r>
        <w:rPr>
          <w:color w:val="444444"/>
          <w:sz w:val="20"/>
        </w:rPr>
        <w:t>Version 1.0 • October 2026</w:t>
      </w:r>
    </w:p>
    <w:p>
      <w:r>
        <w:br w:type="page"/>
      </w:r>
    </w:p>
    <w:p>
      <w:pPr>
        <w:pStyle w:val="Heading1"/>
        <w:pageBreakBefore/>
      </w:pPr>
      <w:r>
        <w:t>Purpose and scope</w:t>
      </w:r>
    </w:p>
    <w:p>
      <w:r>
        <w:t>This curriculum trains practitioners to recognize destabilizing interaction patterns, document observable events, set proportionate boundaries, coordinate support, and review outcomes. It treats “anti-chaos” as a practical method for restoring clarity, safety, and reliable decision-making. The course applies in families, workplaces, community groups, service organizations, and digital settings.</w:t>
      </w:r>
    </w:p>
    <w:p>
      <w:r>
        <w:t>The course evaluates actions and impact, not personality types or presumed motives. Terms such as “Machiavellian,” “narcissist,” “flying monkey,” or “gaslighting” are not used as diagnoses or proof. A learner may describe a specific behavior—such as denying a documented agreement, pressuring someone through a third party, or changing a requirement—without claiming to know why it happened. The advanced trajectory module teaches learners to examine how costs and blame may move through a network over time without assuming a fixed ending.</w:t>
      </w:r>
    </w:p>
    <w:p>
      <w:r>
        <w:t>This is education, not psychotherapy, legal advice, an investigation, or a substitute for emergency response. Practitioners should follow applicable law, workplace policy, safeguarding duties, and professional standards. When danger, stalking, threats, coercive control, child or elder abuse, or self-harm risk may be present, prioritize qualified local support and safety planning over direct confrontation or course exercises.</w:t>
      </w:r>
    </w:p>
    <w:p>
      <w:pPr>
        <w:pStyle w:val="Heading1"/>
      </w:pPr>
      <w:r>
        <w:t>Graduate capabilities</w:t>
      </w:r>
    </w:p>
    <w:p>
      <w:pPr>
        <w:pStyle w:val="ListBullet"/>
      </w:pPr>
      <w:r>
        <w:t>Separate firsthand observations, records, reports, interpretations, and unknowns.</w:t>
      </w:r>
    </w:p>
    <w:p>
      <w:pPr>
        <w:pStyle w:val="ListBullet"/>
      </w:pPr>
      <w:r>
        <w:t>Notice repeated patterns while testing ordinary explanations and correcting for incomplete information.</w:t>
      </w:r>
    </w:p>
    <w:p>
      <w:pPr>
        <w:pStyle w:val="ListBullet"/>
      </w:pPr>
      <w:r>
        <w:t>Map communication and decision pathways without assigning stigmatizing labels or collecting unnecessary personal data.</w:t>
      </w:r>
    </w:p>
    <w:p>
      <w:pPr>
        <w:pStyle w:val="ListBullet"/>
      </w:pPr>
      <w:r>
        <w:t>Choose a proportionate response: pause, clarify, set a boundary, document, consult, escalate, or disengage.</w:t>
      </w:r>
    </w:p>
    <w:p>
      <w:pPr>
        <w:pStyle w:val="ListBullet"/>
      </w:pPr>
      <w:r>
        <w:t>Communicate briefly and respectfully, keep essential logistics reliable, and avoid retaliation or coercion.</w:t>
      </w:r>
    </w:p>
    <w:p>
      <w:pPr>
        <w:pStyle w:val="ListBullet"/>
      </w:pPr>
      <w:r>
        <w:t>Build a small support network with clear roles, confidentiality limits, and referral routes.</w:t>
      </w:r>
    </w:p>
    <w:p>
      <w:pPr>
        <w:pStyle w:val="ListBullet"/>
      </w:pPr>
      <w:r>
        <w:t>Measure whether an intervention improved safety, clarity, and function; adapt when it did not.</w:t>
      </w:r>
    </w:p>
    <w:p>
      <w:pPr>
        <w:pStyle w:val="ListBullet"/>
      </w:pPr>
      <w:r>
        <w:t>Teach the method to others while preserving consent, privacy, and local accountability.</w:t>
      </w:r>
    </w:p>
    <w:p>
      <w:pPr>
        <w:pStyle w:val="Heading1"/>
      </w:pPr>
      <w:r>
        <w:t>Operating principles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4968"/>
            <w:shd w:fill="18324B"/>
            <w:vAlign w:val="center"/>
          </w:tcPr>
          <w:p>
            <w:r>
              <w:rPr>
                <w:b/>
                <w:color w:val="FFFFFF"/>
                <w:sz w:val="18"/>
              </w:rPr>
              <w:t>Principle</w:t>
            </w:r>
          </w:p>
        </w:tc>
        <w:tc>
          <w:tcPr>
            <w:tcW w:type="dxa" w:w="4968"/>
            <w:shd w:fill="18324B"/>
            <w:vAlign w:val="center"/>
          </w:tcPr>
          <w:p>
            <w:r>
              <w:rPr>
                <w:b/>
                <w:color w:val="FFFFFF"/>
                <w:sz w:val="18"/>
              </w:rPr>
              <w:t>Implementation rule</w:t>
            </w:r>
          </w:p>
        </w:tc>
      </w:tr>
      <w:tr>
        <w:trPr>
          <w:cantSplit/>
        </w:trPr>
        <w:tc>
          <w:tcPr>
            <w:tcW w:type="dxa" w:w="4968"/>
            <w:vAlign w:val="center"/>
          </w:tcPr>
          <w:p>
            <w:pPr>
              <w:spacing w:after="60" w:before="60"/>
            </w:pPr>
            <w:r>
              <w:rPr>
                <w:sz w:val="18"/>
              </w:rPr>
              <w:t>Behavior before labels</w:t>
            </w:r>
          </w:p>
        </w:tc>
        <w:tc>
          <w:tcPr>
            <w:tcW w:type="dxa" w:w="4968"/>
            <w:vAlign w:val="center"/>
          </w:tcPr>
          <w:p>
            <w:pPr>
              <w:spacing w:after="60" w:before="60"/>
            </w:pPr>
            <w:r>
              <w:rPr>
                <w:sz w:val="18"/>
              </w:rPr>
              <w:t>Describe what was said or done, when, where, and what changed. Keep motive as unknown unless independently established.</w:t>
            </w:r>
          </w:p>
        </w:tc>
      </w:tr>
      <w:tr>
        <w:trPr>
          <w:cantSplit/>
        </w:trPr>
        <w:tc>
          <w:tcPr>
            <w:tcW w:type="dxa" w:w="4968"/>
            <w:vAlign w:val="center"/>
            <w:shd w:fill="F3F6F8"/>
          </w:tcPr>
          <w:p>
            <w:pPr>
              <w:spacing w:after="60" w:before="60"/>
            </w:pPr>
            <w:r>
              <w:rPr>
                <w:sz w:val="18"/>
              </w:rPr>
              <w:t>Proportionality</w:t>
            </w:r>
          </w:p>
        </w:tc>
        <w:tc>
          <w:tcPr>
            <w:tcW w:type="dxa" w:w="4968"/>
            <w:vAlign w:val="center"/>
            <w:shd w:fill="F3F6F8"/>
          </w:tcPr>
          <w:p>
            <w:pPr>
              <w:spacing w:after="60" w:before="60"/>
            </w:pPr>
            <w:r>
              <w:rPr>
                <w:sz w:val="18"/>
              </w:rPr>
              <w:t>Use the least escalatory response that can reasonably protect safety, rights, and essential work.</w:t>
            </w:r>
          </w:p>
        </w:tc>
      </w:tr>
      <w:tr>
        <w:trPr>
          <w:cantSplit/>
        </w:trPr>
        <w:tc>
          <w:tcPr>
            <w:tcW w:type="dxa" w:w="4968"/>
            <w:vAlign w:val="center"/>
          </w:tcPr>
          <w:p>
            <w:pPr>
              <w:spacing w:after="60" w:before="60"/>
            </w:pPr>
            <w:r>
              <w:rPr>
                <w:sz w:val="18"/>
              </w:rPr>
              <w:t>Agency</w:t>
            </w:r>
          </w:p>
        </w:tc>
        <w:tc>
          <w:tcPr>
            <w:tcW w:type="dxa" w:w="4968"/>
            <w:vAlign w:val="center"/>
          </w:tcPr>
          <w:p>
            <w:pPr>
              <w:spacing w:after="60" w:before="60"/>
            </w:pPr>
            <w:r>
              <w:rPr>
                <w:sz w:val="18"/>
              </w:rPr>
              <w:t>Offer choices and explain tradeoffs. Do not pressure a participant to confront, disclose, report, or leave.</w:t>
            </w:r>
          </w:p>
        </w:tc>
      </w:tr>
      <w:tr>
        <w:trPr>
          <w:cantSplit/>
        </w:trPr>
        <w:tc>
          <w:tcPr>
            <w:tcW w:type="dxa" w:w="4968"/>
            <w:vAlign w:val="center"/>
            <w:shd w:fill="F3F6F8"/>
          </w:tcPr>
          <w:p>
            <w:pPr>
              <w:spacing w:after="60" w:before="60"/>
            </w:pPr>
            <w:r>
              <w:rPr>
                <w:sz w:val="18"/>
              </w:rPr>
              <w:t>Evidence discipline</w:t>
            </w:r>
          </w:p>
        </w:tc>
        <w:tc>
          <w:tcPr>
            <w:tcW w:type="dxa" w:w="4968"/>
            <w:vAlign w:val="center"/>
            <w:shd w:fill="F3F6F8"/>
          </w:tcPr>
          <w:p>
            <w:pPr>
              <w:spacing w:after="60" w:before="60"/>
            </w:pPr>
            <w:r>
              <w:rPr>
                <w:sz w:val="18"/>
              </w:rPr>
              <w:t>Preserve original records lawfully; distinguish direct observation from secondhand accounts; do not manufacture tests or bait people.</w:t>
            </w:r>
          </w:p>
        </w:tc>
      </w:tr>
      <w:tr>
        <w:trPr>
          <w:cantSplit/>
        </w:trPr>
        <w:tc>
          <w:tcPr>
            <w:tcW w:type="dxa" w:w="4968"/>
            <w:vAlign w:val="center"/>
          </w:tcPr>
          <w:p>
            <w:pPr>
              <w:spacing w:after="60" w:before="60"/>
            </w:pPr>
            <w:r>
              <w:rPr>
                <w:sz w:val="18"/>
              </w:rPr>
              <w:t>Privacy by design</w:t>
            </w:r>
          </w:p>
        </w:tc>
        <w:tc>
          <w:tcPr>
            <w:tcW w:type="dxa" w:w="4968"/>
            <w:vAlign w:val="center"/>
          </w:tcPr>
          <w:p>
            <w:pPr>
              <w:spacing w:after="60" w:before="60"/>
            </w:pPr>
            <w:r>
              <w:rPr>
                <w:sz w:val="18"/>
              </w:rPr>
              <w:t>Collect the minimum necessary data, restrict access, set a retention date, and use secure storage.</w:t>
            </w:r>
          </w:p>
        </w:tc>
      </w:tr>
      <w:tr>
        <w:trPr>
          <w:cantSplit/>
        </w:trPr>
        <w:tc>
          <w:tcPr>
            <w:tcW w:type="dxa" w:w="4968"/>
            <w:vAlign w:val="center"/>
            <w:shd w:fill="F3F6F8"/>
          </w:tcPr>
          <w:p>
            <w:pPr>
              <w:spacing w:after="60" w:before="60"/>
            </w:pPr>
            <w:r>
              <w:rPr>
                <w:sz w:val="18"/>
              </w:rPr>
              <w:t>Safety first</w:t>
            </w:r>
          </w:p>
        </w:tc>
        <w:tc>
          <w:tcPr>
            <w:tcW w:type="dxa" w:w="4968"/>
            <w:vAlign w:val="center"/>
            <w:shd w:fill="F3F6F8"/>
          </w:tcPr>
          <w:p>
            <w:pPr>
              <w:spacing w:after="60" w:before="60"/>
            </w:pPr>
            <w:r>
              <w:rPr>
                <w:sz w:val="18"/>
              </w:rPr>
              <w:t>Do not advise meeting alone, blocking all channels, or withholding urgent information when that could increase danger.</w:t>
            </w:r>
          </w:p>
        </w:tc>
      </w:tr>
      <w:tr>
        <w:trPr>
          <w:cantSplit/>
        </w:trPr>
        <w:tc>
          <w:tcPr>
            <w:tcW w:type="dxa" w:w="4968"/>
            <w:vAlign w:val="center"/>
          </w:tcPr>
          <w:p>
            <w:pPr>
              <w:spacing w:after="60" w:before="60"/>
            </w:pPr>
            <w:r>
              <w:rPr>
                <w:sz w:val="18"/>
              </w:rPr>
              <w:t>Accountability</w:t>
            </w:r>
          </w:p>
        </w:tc>
        <w:tc>
          <w:tcPr>
            <w:tcW w:type="dxa" w:w="4968"/>
            <w:vAlign w:val="center"/>
          </w:tcPr>
          <w:p>
            <w:pPr>
              <w:spacing w:after="60" w:before="60"/>
            </w:pPr>
            <w:r>
              <w:rPr>
                <w:sz w:val="18"/>
              </w:rPr>
              <w:t>Use fair processes, independent review, and correction pathways for everyone affected.</w:t>
            </w:r>
          </w:p>
        </w:tc>
      </w:tr>
    </w:tbl>
    <w:p>
      <w:pPr>
        <w:spacing w:after="40"/>
      </w:pPr>
    </w:p>
    <w:p>
      <w:pPr>
        <w:pStyle w:val="Heading1"/>
      </w:pPr>
      <w:r>
        <w:t>Course architecture</w:t>
      </w:r>
    </w:p>
    <w:p>
      <w:r>
        <w:t>Recommended delivery: eight 2–3 hour modules over four to eight weeks, with a short between-session practice. A self-study version can be completed in eight focused sessions. Groups should use fictionalized cases unless participants have explicitly consented to share real material. Facilitators must not solicit identifying details or promise absolute confidentiality.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tblHeader w:val="true"/>
          <w:cantSplit/>
        </w:trPr>
        <w:tc>
          <w:tcPr>
            <w:tcW w:type="dxa" w:w="3312"/>
            <w:shd w:fill="18324B"/>
            <w:vAlign w:val="center"/>
          </w:tcPr>
          <w:p>
            <w:r>
              <w:rPr>
                <w:b/>
                <w:color w:val="FFFFFF"/>
                <w:sz w:val="18"/>
              </w:rPr>
              <w:t>Module</w:t>
            </w:r>
          </w:p>
        </w:tc>
        <w:tc>
          <w:tcPr>
            <w:tcW w:type="dxa" w:w="3312"/>
            <w:shd w:fill="18324B"/>
            <w:vAlign w:val="center"/>
          </w:tcPr>
          <w:p>
            <w:r>
              <w:rPr>
                <w:b/>
                <w:color w:val="FFFFFF"/>
                <w:sz w:val="18"/>
              </w:rPr>
              <w:t>Core skill</w:t>
            </w:r>
          </w:p>
        </w:tc>
        <w:tc>
          <w:tcPr>
            <w:tcW w:type="dxa" w:w="3312"/>
            <w:shd w:fill="18324B"/>
            <w:vAlign w:val="center"/>
          </w:tcPr>
          <w:p>
            <w:r>
              <w:rPr>
                <w:b/>
                <w:color w:val="FFFFFF"/>
                <w:sz w:val="18"/>
              </w:rPr>
              <w:t>Evidence of learning</w:t>
            </w:r>
          </w:p>
        </w:tc>
      </w:tr>
      <w:tr>
        <w:trPr>
          <w:cantSplit/>
        </w:trPr>
        <w:tc>
          <w:tcPr>
            <w:tcW w:type="dxa" w:w="3312"/>
            <w:vAlign w:val="center"/>
          </w:tcPr>
          <w:p>
            <w:pPr>
              <w:spacing w:after="60" w:before="60"/>
            </w:pPr>
            <w:r>
              <w:rPr>
                <w:sz w:val="18"/>
              </w:rPr>
              <w:t>1. Stabilize and scope</w:t>
            </w:r>
          </w:p>
        </w:tc>
        <w:tc>
          <w:tcPr>
            <w:tcW w:type="dxa" w:w="3312"/>
            <w:vAlign w:val="center"/>
          </w:tcPr>
          <w:p>
            <w:pPr>
              <w:spacing w:after="60" w:before="60"/>
            </w:pPr>
            <w:r>
              <w:rPr>
                <w:sz w:val="18"/>
              </w:rPr>
              <w:t>Define the problem and immediate safety needs</w:t>
            </w:r>
          </w:p>
        </w:tc>
        <w:tc>
          <w:tcPr>
            <w:tcW w:type="dxa" w:w="3312"/>
            <w:vAlign w:val="center"/>
          </w:tcPr>
          <w:p>
            <w:pPr>
              <w:spacing w:after="60" w:before="60"/>
            </w:pPr>
            <w:r>
              <w:rPr>
                <w:sz w:val="18"/>
              </w:rPr>
              <w:t>One-page scope and triage note</w:t>
            </w:r>
          </w:p>
        </w:tc>
      </w:tr>
      <w:tr>
        <w:trPr>
          <w:cantSplit/>
        </w:trPr>
        <w:tc>
          <w:tcPr>
            <w:tcW w:type="dxa" w:w="3312"/>
            <w:vAlign w:val="center"/>
            <w:shd w:fill="F3F6F8"/>
          </w:tcPr>
          <w:p>
            <w:pPr>
              <w:spacing w:after="60" w:before="60"/>
            </w:pPr>
            <w:r>
              <w:rPr>
                <w:sz w:val="18"/>
              </w:rPr>
              <w:t>2. Observe and record</w:t>
            </w:r>
          </w:p>
        </w:tc>
        <w:tc>
          <w:tcPr>
            <w:tcW w:type="dxa" w:w="3312"/>
            <w:vAlign w:val="center"/>
            <w:shd w:fill="F3F6F8"/>
          </w:tcPr>
          <w:p>
            <w:pPr>
              <w:spacing w:after="60" w:before="60"/>
            </w:pPr>
            <w:r>
              <w:rPr>
                <w:sz w:val="18"/>
              </w:rPr>
              <w:t>Build a neutral event record</w:t>
            </w:r>
          </w:p>
        </w:tc>
        <w:tc>
          <w:tcPr>
            <w:tcW w:type="dxa" w:w="3312"/>
            <w:vAlign w:val="center"/>
            <w:shd w:fill="F3F6F8"/>
          </w:tcPr>
          <w:p>
            <w:pPr>
              <w:spacing w:after="60" w:before="60"/>
            </w:pPr>
            <w:r>
              <w:rPr>
                <w:sz w:val="18"/>
              </w:rPr>
              <w:t>Completed fact/inference log</w:t>
            </w:r>
          </w:p>
        </w:tc>
      </w:tr>
      <w:tr>
        <w:trPr>
          <w:cantSplit/>
        </w:trPr>
        <w:tc>
          <w:tcPr>
            <w:tcW w:type="dxa" w:w="3312"/>
            <w:vAlign w:val="center"/>
          </w:tcPr>
          <w:p>
            <w:pPr>
              <w:spacing w:after="60" w:before="60"/>
            </w:pPr>
            <w:r>
              <w:rPr>
                <w:sz w:val="18"/>
              </w:rPr>
              <w:t>3. Analyze patterns</w:t>
            </w:r>
          </w:p>
        </w:tc>
        <w:tc>
          <w:tcPr>
            <w:tcW w:type="dxa" w:w="3312"/>
            <w:vAlign w:val="center"/>
          </w:tcPr>
          <w:p>
            <w:pPr>
              <w:spacing w:after="60" w:before="60"/>
            </w:pPr>
            <w:r>
              <w:rPr>
                <w:sz w:val="18"/>
              </w:rPr>
              <w:t>Test competing explanations</w:t>
            </w:r>
          </w:p>
        </w:tc>
        <w:tc>
          <w:tcPr>
            <w:tcW w:type="dxa" w:w="3312"/>
            <w:vAlign w:val="center"/>
          </w:tcPr>
          <w:p>
            <w:pPr>
              <w:spacing w:after="60" w:before="60"/>
            </w:pPr>
            <w:r>
              <w:rPr>
                <w:sz w:val="18"/>
              </w:rPr>
              <w:t>Pattern summary with confidence and gaps</w:t>
            </w:r>
          </w:p>
        </w:tc>
      </w:tr>
      <w:tr>
        <w:trPr>
          <w:cantSplit/>
        </w:trPr>
        <w:tc>
          <w:tcPr>
            <w:tcW w:type="dxa" w:w="3312"/>
            <w:vAlign w:val="center"/>
            <w:shd w:fill="F3F6F8"/>
          </w:tcPr>
          <w:p>
            <w:pPr>
              <w:spacing w:after="60" w:before="60"/>
            </w:pPr>
            <w:r>
              <w:rPr>
                <w:sz w:val="18"/>
              </w:rPr>
              <w:t>4. Map the system</w:t>
            </w:r>
          </w:p>
        </w:tc>
        <w:tc>
          <w:tcPr>
            <w:tcW w:type="dxa" w:w="3312"/>
            <w:vAlign w:val="center"/>
            <w:shd w:fill="F3F6F8"/>
          </w:tcPr>
          <w:p>
            <w:pPr>
              <w:spacing w:after="60" w:before="60"/>
            </w:pPr>
            <w:r>
              <w:rPr>
                <w:sz w:val="18"/>
              </w:rPr>
              <w:t>Understand people, channels, and dependencies</w:t>
            </w:r>
          </w:p>
        </w:tc>
        <w:tc>
          <w:tcPr>
            <w:tcW w:type="dxa" w:w="3312"/>
            <w:vAlign w:val="center"/>
            <w:shd w:fill="F3F6F8"/>
          </w:tcPr>
          <w:p>
            <w:pPr>
              <w:spacing w:after="60" w:before="60"/>
            </w:pPr>
            <w:r>
              <w:rPr>
                <w:sz w:val="18"/>
              </w:rPr>
              <w:t>Privacy-minimized network map</w:t>
            </w:r>
          </w:p>
        </w:tc>
      </w:tr>
      <w:tr>
        <w:trPr>
          <w:cantSplit/>
        </w:trPr>
        <w:tc>
          <w:tcPr>
            <w:tcW w:type="dxa" w:w="3312"/>
            <w:vAlign w:val="center"/>
          </w:tcPr>
          <w:p>
            <w:pPr>
              <w:spacing w:after="60" w:before="60"/>
            </w:pPr>
            <w:r>
              <w:rPr>
                <w:sz w:val="18"/>
              </w:rPr>
              <w:t>5. Communicate boundaries</w:t>
            </w:r>
          </w:p>
        </w:tc>
        <w:tc>
          <w:tcPr>
            <w:tcW w:type="dxa" w:w="3312"/>
            <w:vAlign w:val="center"/>
          </w:tcPr>
          <w:p>
            <w:pPr>
              <w:spacing w:after="60" w:before="60"/>
            </w:pPr>
            <w:r>
              <w:rPr>
                <w:sz w:val="18"/>
              </w:rPr>
              <w:t>Use clear, workable scripts</w:t>
            </w:r>
          </w:p>
        </w:tc>
        <w:tc>
          <w:tcPr>
            <w:tcW w:type="dxa" w:w="3312"/>
            <w:vAlign w:val="center"/>
          </w:tcPr>
          <w:p>
            <w:pPr>
              <w:spacing w:after="60" w:before="60"/>
            </w:pPr>
            <w:r>
              <w:rPr>
                <w:sz w:val="18"/>
              </w:rPr>
              <w:t>Boundary and communication plan</w:t>
            </w:r>
          </w:p>
        </w:tc>
      </w:tr>
      <w:tr>
        <w:trPr>
          <w:cantSplit/>
        </w:trPr>
        <w:tc>
          <w:tcPr>
            <w:tcW w:type="dxa" w:w="3312"/>
            <w:vAlign w:val="center"/>
            <w:shd w:fill="F3F6F8"/>
          </w:tcPr>
          <w:p>
            <w:pPr>
              <w:spacing w:after="60" w:before="60"/>
            </w:pPr>
            <w:r>
              <w:rPr>
                <w:sz w:val="18"/>
              </w:rPr>
              <w:t>6. Respond and escalate</w:t>
            </w:r>
          </w:p>
        </w:tc>
        <w:tc>
          <w:tcPr>
            <w:tcW w:type="dxa" w:w="3312"/>
            <w:vAlign w:val="center"/>
            <w:shd w:fill="F3F6F8"/>
          </w:tcPr>
          <w:p>
            <w:pPr>
              <w:spacing w:after="60" w:before="60"/>
            </w:pPr>
            <w:r>
              <w:rPr>
                <w:sz w:val="18"/>
              </w:rPr>
              <w:t>Match action to risk and context</w:t>
            </w:r>
          </w:p>
        </w:tc>
        <w:tc>
          <w:tcPr>
            <w:tcW w:type="dxa" w:w="3312"/>
            <w:vAlign w:val="center"/>
            <w:shd w:fill="F3F6F8"/>
          </w:tcPr>
          <w:p>
            <w:pPr>
              <w:spacing w:after="60" w:before="60"/>
            </w:pPr>
            <w:r>
              <w:rPr>
                <w:sz w:val="18"/>
              </w:rPr>
              <w:t>Decision path and referral plan</w:t>
            </w:r>
          </w:p>
        </w:tc>
      </w:tr>
      <w:tr>
        <w:trPr>
          <w:cantSplit/>
        </w:trPr>
        <w:tc>
          <w:tcPr>
            <w:tcW w:type="dxa" w:w="3312"/>
            <w:vAlign w:val="center"/>
          </w:tcPr>
          <w:p>
            <w:pPr>
              <w:spacing w:after="60" w:before="60"/>
            </w:pPr>
            <w:r>
              <w:rPr>
                <w:sz w:val="18"/>
              </w:rPr>
              <w:t>7. Implement and measure</w:t>
            </w:r>
          </w:p>
        </w:tc>
        <w:tc>
          <w:tcPr>
            <w:tcW w:type="dxa" w:w="3312"/>
            <w:vAlign w:val="center"/>
          </w:tcPr>
          <w:p>
            <w:pPr>
              <w:spacing w:after="60" w:before="60"/>
            </w:pPr>
            <w:r>
              <w:rPr>
                <w:sz w:val="18"/>
              </w:rPr>
              <w:t>Run a short, reviewable intervention</w:t>
            </w:r>
          </w:p>
        </w:tc>
        <w:tc>
          <w:tcPr>
            <w:tcW w:type="dxa" w:w="3312"/>
            <w:vAlign w:val="center"/>
          </w:tcPr>
          <w:p>
            <w:pPr>
              <w:spacing w:after="60" w:before="60"/>
            </w:pPr>
            <w:r>
              <w:rPr>
                <w:sz w:val="18"/>
              </w:rPr>
              <w:t>30-day implementation plan</w:t>
            </w:r>
          </w:p>
        </w:tc>
      </w:tr>
      <w:tr>
        <w:trPr>
          <w:cantSplit/>
        </w:trPr>
        <w:tc>
          <w:tcPr>
            <w:tcW w:type="dxa" w:w="3312"/>
            <w:vAlign w:val="center"/>
            <w:shd w:fill="F3F6F8"/>
          </w:tcPr>
          <w:p>
            <w:pPr>
              <w:spacing w:after="60" w:before="60"/>
            </w:pPr>
            <w:r>
              <w:rPr>
                <w:sz w:val="18"/>
              </w:rPr>
              <w:t>8. Capstone and teach-back</w:t>
            </w:r>
          </w:p>
        </w:tc>
        <w:tc>
          <w:tcPr>
            <w:tcW w:type="dxa" w:w="3312"/>
            <w:vAlign w:val="center"/>
            <w:shd w:fill="F3F6F8"/>
          </w:tcPr>
          <w:p>
            <w:pPr>
              <w:spacing w:after="60" w:before="60"/>
            </w:pPr>
            <w:r>
              <w:rPr>
                <w:sz w:val="18"/>
              </w:rPr>
              <w:t>Demonstrate the whole cycle</w:t>
            </w:r>
          </w:p>
        </w:tc>
        <w:tc>
          <w:tcPr>
            <w:tcW w:type="dxa" w:w="3312"/>
            <w:vAlign w:val="center"/>
            <w:shd w:fill="F3F6F8"/>
          </w:tcPr>
          <w:p>
            <w:pPr>
              <w:spacing w:after="60" w:before="60"/>
            </w:pPr>
            <w:r>
              <w:rPr>
                <w:sz w:val="18"/>
              </w:rPr>
              <w:t>Case presentation and scored practice</w:t>
            </w:r>
          </w:p>
        </w:tc>
      </w:tr>
      <w:tr>
        <w:tc>
          <w:tcPr>
            <w:tcW w:type="dxa" w:w="3312"/>
          </w:tcPr>
          <w:p>
            <w:r>
              <w:t>9. Trace trajectories</w:t>
            </w:r>
          </w:p>
        </w:tc>
        <w:tc>
          <w:tcPr>
            <w:tcW w:type="dxa" w:w="3312"/>
          </w:tcPr>
          <w:p>
            <w:r>
              <w:t>Track behavior and cost transfer over time</w:t>
            </w:r>
          </w:p>
        </w:tc>
        <w:tc>
          <w:tcPr>
            <w:tcW w:type="dxa" w:w="3312"/>
          </w:tcPr>
          <w:p>
            <w:r>
              <w:t>Trajectory map with competing outcomes</w:t>
            </w:r>
          </w:p>
        </w:tc>
      </w:tr>
    </w:tbl>
    <w:p>
      <w:pPr>
        <w:spacing w:after="40"/>
      </w:pPr>
    </w:p>
    <w:p>
      <w:pPr>
        <w:pStyle w:val="Heading2"/>
        <w:keepNext/>
      </w:pPr>
      <w:r>
        <w:t>Module 1  Stabilize and scope</w:t>
      </w:r>
    </w:p>
    <w:p>
      <w:pPr>
        <w:keepLines/>
        <w:spacing w:before="43" w:after="144"/>
        <w:jc w:val="center"/>
      </w:pPr>
      <w:r>
        <w:drawing>
          <wp:inline xmlns:a="http://schemas.openxmlformats.org/drawingml/2006/main" xmlns:pic="http://schemas.openxmlformats.org/drawingml/2006/picture">
            <wp:extent cx="4114800" cy="2743200"/>
            <wp:docPr id="2" name="Picture 2" descr="A clear field journal, compass, and notes at dawn represent pausing and setting a safe scope." title="Anti Chaos Stabilize"/>
            <wp:cNvGraphicFramePr>
              <a:graphicFrameLocks noChangeAspect="1"/>
            </wp:cNvGraphicFramePr>
            <a:graphic>
              <a:graphicData uri="http://schemas.openxmlformats.org/drawingml/2006/picture">
                <pic:pic>
                  <pic:nvPicPr>
                    <pic:cNvPr id="0" name="anti-chaos-stabilize.jpg"/>
                    <pic:cNvPicPr/>
                  </pic:nvPicPr>
                  <pic:blipFill>
                    <a:blip r:embed="rId11"/>
                    <a:stretch>
                      <a:fillRect/>
                    </a:stretch>
                  </pic:blipFill>
                  <pic:spPr>
                    <a:xfrm>
                      <a:off x="0" y="0"/>
                      <a:ext cx="4114800" cy="2743200"/>
                    </a:xfrm>
                    <a:prstGeom prst="rect"/>
                  </pic:spPr>
                </pic:pic>
              </a:graphicData>
            </a:graphic>
          </wp:inline>
        </w:drawing>
      </w:r>
    </w:p>
    <w:p>
      <w:r>
        <w:rPr>
          <w:b/>
        </w:rPr>
        <w:t>Purpose:</w:t>
      </w:r>
      <w:r>
        <w:t xml:space="preserve"> Move from overwhelm to a bounded problem statement and check immediate safety before analysis.</w:t>
      </w:r>
    </w:p>
    <w:p>
      <w:pPr>
        <w:pStyle w:val="Heading3"/>
      </w:pPr>
      <w:r>
        <w:t>Teach</w:t>
      </w:r>
    </w:p>
    <w:p>
      <w:pPr>
        <w:pStyle w:val="ListBullet"/>
      </w:pPr>
      <w:r>
        <w:t>Chaos can arise from conflict, unclear roles, changing demands, unreliable processes, information gaps, stress, or intentional misconduct. Start with what can be verified.</w:t>
      </w:r>
    </w:p>
    <w:p>
      <w:pPr>
        <w:pStyle w:val="ListBullet"/>
      </w:pPr>
      <w:r>
        <w:t>Impact is observable; intent is often uncertain. You do not need to prove intent to set a reasonable boundary or seek support.</w:t>
      </w:r>
    </w:p>
    <w:p>
      <w:pPr>
        <w:pStyle w:val="ListBullet"/>
      </w:pPr>
      <w:r>
        <w:t>A safety screen asks whether there is immediate danger, credible threat, coercive control, access to weapons, unwanted tracking, or a vulnerable person at risk. Follow local emergency and safeguarding procedures.</w:t>
      </w:r>
    </w:p>
    <w:p>
      <w:pPr>
        <w:pStyle w:val="Heading3"/>
      </w:pPr>
      <w:r>
        <w:t>Practice</w:t>
      </w:r>
    </w:p>
    <w:p>
      <w:pPr>
        <w:ind w:left="317" w:hanging="317"/>
      </w:pPr>
      <w:r>
        <w:rPr>
          <w:b/>
        </w:rPr>
        <w:t xml:space="preserve">1. </w:t>
      </w:r>
      <w:r>
        <w:t>Write one sentence describing the current problem without a diagnosis or motive claim.</w:t>
      </w:r>
    </w:p>
    <w:p>
      <w:pPr>
        <w:ind w:left="317" w:hanging="317"/>
      </w:pPr>
      <w:r>
        <w:rPr>
          <w:b/>
        </w:rPr>
        <w:t xml:space="preserve">2. </w:t>
      </w:r>
      <w:r>
        <w:t>List what must remain safe and functional: people, essential communications, work, housing, finances, records, or care duties.</w:t>
      </w:r>
    </w:p>
    <w:p>
      <w:pPr>
        <w:ind w:left="317" w:hanging="317"/>
      </w:pPr>
      <w:r>
        <w:rPr>
          <w:b/>
        </w:rPr>
        <w:t xml:space="preserve">3. </w:t>
      </w:r>
      <w:r>
        <w:t>Identify what requires action today, what can wait, and who is qualified to advise.</w:t>
      </w:r>
    </w:p>
    <w:p>
      <w:pPr>
        <w:ind w:left="317" w:hanging="317"/>
      </w:pPr>
      <w:r>
        <w:rPr>
          <w:b/>
        </w:rPr>
        <w:t xml:space="preserve">4. </w:t>
      </w:r>
      <w:r>
        <w:t>Choose one small next step and a review time.</w:t>
      </w:r>
    </w:p>
    <w:p>
      <w:r>
        <w:rPr>
          <w:b/>
        </w:rPr>
        <w:t>Required output:</w:t>
      </w:r>
      <w:r>
        <w:t xml:space="preserve"> A bounded problem statement, immediate-needs list, and support contact plan.</w:t>
      </w:r>
    </w:p>
    <w:p>
      <w:r>
        <w:rPr>
          <w:b/>
        </w:rPr>
        <w:t>Mastery check:</w:t>
      </w:r>
      <w:r>
        <w:t xml:space="preserve"> The learner can state the concern in observable language, identify urgent safety issues, and name a proportionate next step.</w:t>
      </w:r>
    </w:p>
    <w:p>
      <w:pPr>
        <w:pStyle w:val="Heading2"/>
      </w:pPr>
      <w:r>
        <w:t>Module 2  Observe and record</w:t>
      </w:r>
    </w:p>
    <w:p>
      <w:r>
        <w:rPr>
          <w:b/>
        </w:rPr>
        <w:t>Purpose:</w:t>
      </w:r>
      <w:r>
        <w:t xml:space="preserve"> Create a reliable account that can support clear decisions without turning the learner into an investigator.</w:t>
      </w:r>
    </w:p>
    <w:p>
      <w:pPr>
        <w:pStyle w:val="Heading3"/>
      </w:pPr>
      <w:r>
        <w:t>Teach</w:t>
      </w:r>
    </w:p>
    <w:p>
      <w:pPr>
        <w:pStyle w:val="ListBullet"/>
      </w:pPr>
      <w:r>
        <w:t>Record date, time, setting, participants by role or initials, exact words when remembered, action, immediate effect, and source.</w:t>
      </w:r>
    </w:p>
    <w:p>
      <w:pPr>
        <w:pStyle w:val="ListBullet"/>
      </w:pPr>
      <w:r>
        <w:t>Mark whether a detail is firsthand, documented, reported by another person, or inferred. Use quotation marks only for wording recalled accurately.</w:t>
      </w:r>
    </w:p>
    <w:p>
      <w:pPr>
        <w:pStyle w:val="ListBullet"/>
      </w:pPr>
      <w:r>
        <w:t>Keep records factual, brief, secure, and lawful. Do not secretly record where prohibited, access another person’s accounts, or circulate allegations broadly.</w:t>
      </w:r>
    </w:p>
    <w:p>
      <w:pPr>
        <w:pStyle w:val="Heading3"/>
      </w:pPr>
      <w:r>
        <w:t>Practice</w:t>
      </w:r>
    </w:p>
    <w:p>
      <w:pPr>
        <w:ind w:left="317" w:hanging="317"/>
      </w:pPr>
      <w:r>
        <w:rPr>
          <w:b/>
        </w:rPr>
        <w:t xml:space="preserve">1. </w:t>
      </w:r>
      <w:r>
        <w:t>Review a fictional case and underline direct observations in one color and interpretations in another.</w:t>
      </w:r>
    </w:p>
    <w:p>
      <w:pPr>
        <w:ind w:left="317" w:hanging="317"/>
      </w:pPr>
      <w:r>
        <w:rPr>
          <w:b/>
        </w:rPr>
        <w:t xml:space="preserve">2. </w:t>
      </w:r>
      <w:r>
        <w:t>Complete an event log with uncertainty marked explicitly.</w:t>
      </w:r>
    </w:p>
    <w:p>
      <w:pPr>
        <w:ind w:left="317" w:hanging="317"/>
      </w:pPr>
      <w:r>
        <w:rPr>
          <w:b/>
        </w:rPr>
        <w:t xml:space="preserve">3. </w:t>
      </w:r>
      <w:r>
        <w:t>Rewrite three loaded statements as neutral descriptions.</w:t>
      </w:r>
    </w:p>
    <w:p>
      <w:pPr>
        <w:ind w:left="317" w:hanging="317"/>
      </w:pPr>
      <w:r>
        <w:rPr>
          <w:b/>
        </w:rPr>
        <w:t xml:space="preserve">4. </w:t>
      </w:r>
      <w:r>
        <w:t>Set an access and retention rule for the record.</w:t>
      </w:r>
    </w:p>
    <w:p>
      <w:r>
        <w:rPr>
          <w:b/>
        </w:rPr>
        <w:t>Required output:</w:t>
      </w:r>
      <w:r>
        <w:t xml:space="preserve"> A concise event log with source and confidence fields.</w:t>
      </w:r>
    </w:p>
    <w:p>
      <w:r>
        <w:rPr>
          <w:b/>
        </w:rPr>
        <w:t>Mastery check:</w:t>
      </w:r>
      <w:r>
        <w:t xml:space="preserve"> The record lets another reader distinguish what happened from what the writer believes it means.</w:t>
      </w:r>
    </w:p>
    <w:p>
      <w:pPr>
        <w:pStyle w:val="Heading2"/>
      </w:pPr>
      <w:r>
        <w:t>Module 3  Analyze patterns and alternatives</w:t>
      </w:r>
    </w:p>
    <w:p>
      <w:r>
        <w:rPr>
          <w:b/>
        </w:rPr>
        <w:t>Purpose:</w:t>
      </w:r>
      <w:r>
        <w:t xml:space="preserve"> Determine whether events form a repeated, consequential pattern while testing explanations that could change the response.</w:t>
      </w:r>
    </w:p>
    <w:p>
      <w:pPr>
        <w:pStyle w:val="Heading3"/>
      </w:pPr>
      <w:r>
        <w:t>Teach</w:t>
      </w:r>
    </w:p>
    <w:p>
      <w:pPr>
        <w:pStyle w:val="ListBullet"/>
      </w:pPr>
      <w:r>
        <w:t>A pattern requires more than a single uncomfortable interaction. Consider frequency, consistency, impact, context, and independent corroboration.</w:t>
      </w:r>
    </w:p>
    <w:p>
      <w:pPr>
        <w:pStyle w:val="ListBullet"/>
      </w:pPr>
      <w:r>
        <w:t>Alternative explanations matter: miscommunication, workload, disability-related communication differences, policy ambiguity, conflict on both sides, or missing records.</w:t>
      </w:r>
    </w:p>
    <w:p>
      <w:pPr>
        <w:pStyle w:val="ListBullet"/>
      </w:pPr>
      <w:r>
        <w:t>Confidence is not certainty. Use low, medium, or high confidence and explain what evidence would change the assessment.</w:t>
      </w:r>
    </w:p>
    <w:p>
      <w:pPr>
        <w:pStyle w:val="Heading3"/>
      </w:pPr>
      <w:r>
        <w:t>Practice</w:t>
      </w:r>
    </w:p>
    <w:p>
      <w:pPr>
        <w:ind w:left="317" w:hanging="317"/>
      </w:pPr>
      <w:r>
        <w:rPr>
          <w:b/>
        </w:rPr>
        <w:t xml:space="preserve">1. </w:t>
      </w:r>
      <w:r>
        <w:t>Group logged events by behavior, channel, and consequence.</w:t>
      </w:r>
    </w:p>
    <w:p>
      <w:pPr>
        <w:ind w:left="317" w:hanging="317"/>
      </w:pPr>
      <w:r>
        <w:rPr>
          <w:b/>
        </w:rPr>
        <w:t xml:space="preserve">2. </w:t>
      </w:r>
      <w:r>
        <w:t>Identify what stayed stable and what changed.</w:t>
      </w:r>
    </w:p>
    <w:p>
      <w:pPr>
        <w:ind w:left="317" w:hanging="317"/>
      </w:pPr>
      <w:r>
        <w:rPr>
          <w:b/>
        </w:rPr>
        <w:t xml:space="preserve">3. </w:t>
      </w:r>
      <w:r>
        <w:t>Generate at least two plausible alternative explanations.</w:t>
      </w:r>
    </w:p>
    <w:p>
      <w:pPr>
        <w:ind w:left="317" w:hanging="317"/>
      </w:pPr>
      <w:r>
        <w:rPr>
          <w:b/>
        </w:rPr>
        <w:t xml:space="preserve">4. </w:t>
      </w:r>
      <w:r>
        <w:t>Name the smallest safe information request that could clarify the issue.</w:t>
      </w:r>
    </w:p>
    <w:p>
      <w:pPr>
        <w:ind w:left="317" w:hanging="317"/>
      </w:pPr>
      <w:r>
        <w:rPr>
          <w:b/>
        </w:rPr>
        <w:t xml:space="preserve">5. </w:t>
      </w:r>
      <w:r>
        <w:t>Decide whether more observation is appropriate or whether support is already warranted.</w:t>
      </w:r>
    </w:p>
    <w:p>
      <w:r>
        <w:rPr>
          <w:b/>
        </w:rPr>
        <w:t>Required output:</w:t>
      </w:r>
      <w:r>
        <w:t xml:space="preserve"> A two-column pattern-and-alternatives summary with gaps.</w:t>
      </w:r>
    </w:p>
    <w:p>
      <w:r>
        <w:rPr>
          <w:b/>
        </w:rPr>
        <w:t>Mastery check:</w:t>
      </w:r>
      <w:r>
        <w:t xml:space="preserve"> The learner avoids treating a hypothesis as fact and can explain how new evidence could revise the conclusion.</w:t>
      </w:r>
    </w:p>
    <w:p>
      <w:pPr>
        <w:pStyle w:val="Heading2"/>
        <w:keepNext/>
      </w:pPr>
      <w:r>
        <w:t>Module 4  Map the system and network</w:t>
      </w:r>
    </w:p>
    <w:p>
      <w:pPr>
        <w:keepLines/>
        <w:spacing w:before="43" w:after="144"/>
        <w:jc w:val="center"/>
      </w:pPr>
      <w:r>
        <w:drawing>
          <wp:inline xmlns:a="http://schemas.openxmlformats.org/drawingml/2006/main" xmlns:pic="http://schemas.openxmlformats.org/drawingml/2006/picture">
            <wp:extent cx="4114800" cy="2743200"/>
            <wp:docPr id="3" name="Picture 3" descr="An illuminated atlas maps roles, channels, and decisions across connected groups." title="Anti Chaos Network Map"/>
            <wp:cNvGraphicFramePr>
              <a:graphicFrameLocks noChangeAspect="1"/>
            </wp:cNvGraphicFramePr>
            <a:graphic>
              <a:graphicData uri="http://schemas.openxmlformats.org/drawingml/2006/picture">
                <pic:pic>
                  <pic:nvPicPr>
                    <pic:cNvPr id="0" name="anti-chaos-network-map.jpg"/>
                    <pic:cNvPicPr/>
                  </pic:nvPicPr>
                  <pic:blipFill>
                    <a:blip r:embed="rId12"/>
                    <a:stretch>
                      <a:fillRect/>
                    </a:stretch>
                  </pic:blipFill>
                  <pic:spPr>
                    <a:xfrm>
                      <a:off x="0" y="0"/>
                      <a:ext cx="4114800" cy="2743200"/>
                    </a:xfrm>
                    <a:prstGeom prst="rect"/>
                  </pic:spPr>
                </pic:pic>
              </a:graphicData>
            </a:graphic>
          </wp:inline>
        </w:drawing>
      </w:r>
    </w:p>
    <w:p>
      <w:r>
        <w:rPr>
          <w:b/>
        </w:rPr>
        <w:t>Purpose:</w:t>
      </w:r>
      <w:r>
        <w:t xml:space="preserve"> Trace how information, decisions, support, and risk move through a group without categorizing people as villains or tools.</w:t>
      </w:r>
    </w:p>
    <w:p>
      <w:pPr>
        <w:pStyle w:val="Heading3"/>
      </w:pPr>
      <w:r>
        <w:t>Teach</w:t>
      </w:r>
    </w:p>
    <w:p>
      <w:pPr>
        <w:pStyle w:val="ListBullet"/>
      </w:pPr>
      <w:r>
        <w:t>Map functions and relationships: who makes decisions, who relays information, who can offer support, and which channels are official.</w:t>
      </w:r>
    </w:p>
    <w:p>
      <w:pPr>
        <w:pStyle w:val="ListBullet"/>
      </w:pPr>
      <w:r>
        <w:t>Distinguish direct interaction from reports through others. Note uncertainty and avoid assuming coordination from timing alone.</w:t>
      </w:r>
    </w:p>
    <w:p>
      <w:pPr>
        <w:pStyle w:val="ListBullet"/>
      </w:pPr>
      <w:r>
        <w:t>A network map is for solving a bounded problem, not monitoring private lives. Use role names, omit unnecessary identifiers, and restrict access.</w:t>
      </w:r>
    </w:p>
    <w:p>
      <w:pPr>
        <w:pStyle w:val="ListBullet"/>
      </w:pPr>
      <w:r>
        <w:t>Look at system conditions too: unclear escalation paths, single points of failure, informal gatekeepers, or lack of written decisions.</w:t>
      </w:r>
    </w:p>
    <w:p>
      <w:pPr>
        <w:pStyle w:val="Heading3"/>
      </w:pPr>
      <w:r>
        <w:t>Practice</w:t>
      </w:r>
    </w:p>
    <w:p>
      <w:pPr>
        <w:ind w:left="317" w:hanging="317"/>
      </w:pPr>
      <w:r>
        <w:rPr>
          <w:b/>
        </w:rPr>
        <w:t xml:space="preserve">1. </w:t>
      </w:r>
      <w:r>
        <w:t>Draw a fictional map of people, teams, channels, and decision points.</w:t>
      </w:r>
    </w:p>
    <w:p>
      <w:pPr>
        <w:ind w:left="317" w:hanging="317"/>
      </w:pPr>
      <w:r>
        <w:rPr>
          <w:b/>
        </w:rPr>
        <w:t xml:space="preserve">2. </w:t>
      </w:r>
      <w:r>
        <w:t>Mark verified links differently from suspected links.</w:t>
      </w:r>
    </w:p>
    <w:p>
      <w:pPr>
        <w:ind w:left="317" w:hanging="317"/>
      </w:pPr>
      <w:r>
        <w:rPr>
          <w:b/>
        </w:rPr>
        <w:t xml:space="preserve">3. </w:t>
      </w:r>
      <w:r>
        <w:t>Identify one neutral support person and one formal route.</w:t>
      </w:r>
    </w:p>
    <w:p>
      <w:pPr>
        <w:ind w:left="317" w:hanging="317"/>
      </w:pPr>
      <w:r>
        <w:rPr>
          <w:b/>
        </w:rPr>
        <w:t xml:space="preserve">4. </w:t>
      </w:r>
      <w:r>
        <w:t>Remove details that are not needed to decide the next step.</w:t>
      </w:r>
    </w:p>
    <w:p>
      <w:r>
        <w:rPr>
          <w:b/>
        </w:rPr>
        <w:t>Required output:</w:t>
      </w:r>
      <w:r>
        <w:t xml:space="preserve"> A minimal system map and list of reliable channels/supports.</w:t>
      </w:r>
    </w:p>
    <w:p>
      <w:r>
        <w:rPr>
          <w:b/>
        </w:rPr>
        <w:t>Mastery check:</w:t>
      </w:r>
      <w:r>
        <w:t xml:space="preserve"> The map explains a process or support pathway without asserting hidden coordination or ranking people by supposed loyalty.</w:t>
      </w:r>
    </w:p>
    <w:p>
      <w:pPr>
        <w:pStyle w:val="Heading2"/>
        <w:keepNext/>
      </w:pPr>
      <w:r>
        <w:t>Module 5  Communicate boundaries and repair clarity</w:t>
      </w:r>
    </w:p>
    <w:p>
      <w:pPr>
        <w:keepLines/>
        <w:spacing w:before="43" w:after="144"/>
        <w:jc w:val="center"/>
      </w:pPr>
      <w:r>
        <w:drawing>
          <wp:inline xmlns:a="http://schemas.openxmlformats.org/drawingml/2006/main" xmlns:pic="http://schemas.openxmlformats.org/drawingml/2006/picture">
            <wp:extent cx="4114800" cy="2743200"/>
            <wp:docPr id="4" name="Picture 4" descr="A boundary message and balanced brass scale represent respectful communication and proportionate action." title="Anti Chaos Communication"/>
            <wp:cNvGraphicFramePr>
              <a:graphicFrameLocks noChangeAspect="1"/>
            </wp:cNvGraphicFramePr>
            <a:graphic>
              <a:graphicData uri="http://schemas.openxmlformats.org/drawingml/2006/picture">
                <pic:pic>
                  <pic:nvPicPr>
                    <pic:cNvPr id="0" name="anti-chaos-communication.jpg"/>
                    <pic:cNvPicPr/>
                  </pic:nvPicPr>
                  <pic:blipFill>
                    <a:blip r:embed="rId13"/>
                    <a:stretch>
                      <a:fillRect/>
                    </a:stretch>
                  </pic:blipFill>
                  <pic:spPr>
                    <a:xfrm>
                      <a:off x="0" y="0"/>
                      <a:ext cx="4114800" cy="2743200"/>
                    </a:xfrm>
                    <a:prstGeom prst="rect"/>
                  </pic:spPr>
                </pic:pic>
              </a:graphicData>
            </a:graphic>
          </wp:inline>
        </w:drawing>
      </w:r>
    </w:p>
    <w:p>
      <w:r>
        <w:rPr>
          <w:b/>
        </w:rPr>
        <w:t>Purpose:</w:t>
      </w:r>
      <w:r>
        <w:t xml:space="preserve"> Use direct, respectful language that protects limits while preserving essential information and due process.</w:t>
      </w:r>
    </w:p>
    <w:p>
      <w:pPr>
        <w:pStyle w:val="Heading3"/>
      </w:pPr>
      <w:r>
        <w:t>Teach</w:t>
      </w:r>
    </w:p>
    <w:p>
      <w:pPr>
        <w:pStyle w:val="ListBullet"/>
      </w:pPr>
      <w:r>
        <w:t>A boundary states what you will do or accept; it does not control another person.</w:t>
      </w:r>
    </w:p>
    <w:p>
      <w:pPr>
        <w:pStyle w:val="ListBullet"/>
      </w:pPr>
      <w:r>
        <w:t>Use a brief structure: fact or request, limit, next step. Keep critical logistics accessible through a suitable channel.</w:t>
      </w:r>
    </w:p>
    <w:p>
      <w:pPr>
        <w:pStyle w:val="ListBullet"/>
      </w:pPr>
      <w:r>
        <w:t>Clarify scope and decisions in writing when appropriate. Do not use silence as punishment or withhold time-sensitive safety information.</w:t>
      </w:r>
    </w:p>
    <w:p>
      <w:pPr>
        <w:pStyle w:val="ListBullet"/>
      </w:pPr>
      <w:r>
        <w:t>A repair attempt can acknowledge impact without conceding facts: “I can see this caused confusion. Here is what I can confirm.”</w:t>
      </w:r>
    </w:p>
    <w:p>
      <w:pPr>
        <w:pStyle w:val="Heading3"/>
      </w:pPr>
      <w:r>
        <w:t>Practice</w:t>
      </w:r>
    </w:p>
    <w:p>
      <w:pPr>
        <w:ind w:left="317" w:hanging="317"/>
      </w:pPr>
      <w:r>
        <w:rPr>
          <w:b/>
        </w:rPr>
        <w:t xml:space="preserve">1. </w:t>
      </w:r>
      <w:r>
        <w:t>Rewrite an accusatory message as a factual request.</w:t>
      </w:r>
    </w:p>
    <w:p>
      <w:pPr>
        <w:ind w:left="317" w:hanging="317"/>
      </w:pPr>
      <w:r>
        <w:rPr>
          <w:b/>
        </w:rPr>
        <w:t xml:space="preserve">2. </w:t>
      </w:r>
      <w:r>
        <w:t>Draft a boundary for a low-risk scenario and identify the specific action you control.</w:t>
      </w:r>
    </w:p>
    <w:p>
      <w:pPr>
        <w:ind w:left="317" w:hanging="317"/>
      </w:pPr>
      <w:r>
        <w:rPr>
          <w:b/>
        </w:rPr>
        <w:t xml:space="preserve">3. </w:t>
      </w:r>
      <w:r>
        <w:t>Practice responding to an intermediary: redirect the issue to the appropriate channel without attacking them.</w:t>
      </w:r>
    </w:p>
    <w:p>
      <w:pPr>
        <w:ind w:left="317" w:hanging="317"/>
      </w:pPr>
      <w:r>
        <w:rPr>
          <w:b/>
        </w:rPr>
        <w:t xml:space="preserve">4. </w:t>
      </w:r>
      <w:r>
        <w:t>Check the script for threats, diagnosis, unnecessary disclosure, or avoidable escalation.</w:t>
      </w:r>
    </w:p>
    <w:p>
      <w:r>
        <w:rPr>
          <w:b/>
        </w:rPr>
        <w:t>Required output:</w:t>
      </w:r>
      <w:r>
        <w:t xml:space="preserve"> Three usable scripts and a channel plan.</w:t>
      </w:r>
    </w:p>
    <w:p>
      <w:r>
        <w:rPr>
          <w:b/>
        </w:rPr>
        <w:t>Mastery check:</w:t>
      </w:r>
      <w:r>
        <w:t xml:space="preserve"> The learner communicates limits without threats, diagnosis, baiting, or abandonment of necessary duties.</w:t>
      </w:r>
    </w:p>
    <w:p>
      <w:pPr>
        <w:pStyle w:val="Heading2"/>
      </w:pPr>
      <w:r>
        <w:t>Module 6  Respond, refer, and escalate</w:t>
      </w:r>
    </w:p>
    <w:p>
      <w:r>
        <w:rPr>
          <w:b/>
        </w:rPr>
        <w:t>Purpose:</w:t>
      </w:r>
      <w:r>
        <w:t xml:space="preserve"> Select the right pathway for workplace, family, community, digital, and urgent safety concerns.</w:t>
      </w:r>
    </w:p>
    <w:p>
      <w:pPr>
        <w:pStyle w:val="Heading3"/>
      </w:pPr>
      <w:r>
        <w:t>Teach</w:t>
      </w:r>
    </w:p>
    <w:p>
      <w:pPr>
        <w:pStyle w:val="ListBullet"/>
      </w:pPr>
      <w:r>
        <w:t>Use a stepped response: self-regulation and pause; direct clarification when safe; documentation; trusted consultation; formal reporting or specialist referral; emergency response when needed.</w:t>
      </w:r>
    </w:p>
    <w:p>
      <w:pPr>
        <w:pStyle w:val="ListBullet"/>
      </w:pPr>
      <w:r>
        <w:t>The steps are not a mandatory ladder. Skip direct confrontation when unsafe or when policy requires immediate reporting.</w:t>
      </w:r>
    </w:p>
    <w:p>
      <w:pPr>
        <w:pStyle w:val="ListBullet"/>
      </w:pPr>
      <w:r>
        <w:t>Preserve evidence lawfully: original messages, dates, context, and access history. Avoid editing source records or creating counter-surveillance.</w:t>
      </w:r>
    </w:p>
    <w:p>
      <w:pPr>
        <w:pStyle w:val="ListBullet"/>
      </w:pPr>
      <w:r>
        <w:t>For legal, clinical, security, or safeguarding decisions, refer to qualified professionals; do not make promises about outcomes.</w:t>
      </w:r>
    </w:p>
    <w:p>
      <w:pPr>
        <w:pStyle w:val="Heading3"/>
      </w:pPr>
      <w:r>
        <w:t>Practice</w:t>
      </w:r>
    </w:p>
    <w:p>
      <w:pPr>
        <w:ind w:left="317" w:hanging="317"/>
      </w:pPr>
      <w:r>
        <w:rPr>
          <w:b/>
        </w:rPr>
        <w:t xml:space="preserve">1. </w:t>
      </w:r>
      <w:r>
        <w:t>Run three scenarios: routine disagreement, repeated boundary violation, and urgent safety concern.</w:t>
      </w:r>
    </w:p>
    <w:p>
      <w:pPr>
        <w:ind w:left="317" w:hanging="317"/>
      </w:pPr>
      <w:r>
        <w:rPr>
          <w:b/>
        </w:rPr>
        <w:t xml:space="preserve">2. </w:t>
      </w:r>
      <w:r>
        <w:t>For each, identify the decision-maker, response deadline, required channel, and support/referral path.</w:t>
      </w:r>
    </w:p>
    <w:p>
      <w:pPr>
        <w:ind w:left="317" w:hanging="317"/>
      </w:pPr>
      <w:r>
        <w:rPr>
          <w:b/>
        </w:rPr>
        <w:t xml:space="preserve">3. </w:t>
      </w:r>
      <w:r>
        <w:t>Practice a handoff that shares only necessary facts and states uncertainty.</w:t>
      </w:r>
    </w:p>
    <w:p>
      <w:r>
        <w:rPr>
          <w:b/>
        </w:rPr>
        <w:t>Required output:</w:t>
      </w:r>
      <w:r>
        <w:t xml:space="preserve"> A scenario-specific response and referral matrix.</w:t>
      </w:r>
    </w:p>
    <w:p>
      <w:r>
        <w:rPr>
          <w:b/>
        </w:rPr>
        <w:t>Mastery check:</w:t>
      </w:r>
      <w:r>
        <w:t xml:space="preserve"> The learner can distinguish a manageable conflict from a risk requiring formal or emergency support.</w:t>
      </w:r>
    </w:p>
    <w:p>
      <w:pPr>
        <w:pStyle w:val="Heading2"/>
      </w:pPr>
      <w:r>
        <w:t>Module 7  Implement and measure</w:t>
      </w:r>
    </w:p>
    <w:p>
      <w:r>
        <w:rPr>
          <w:b/>
        </w:rPr>
        <w:t>Purpose:</w:t>
      </w:r>
      <w:r>
        <w:t xml:space="preserve"> Turn insight into a short, accountable intervention that can be reviewed and changed.</w:t>
      </w:r>
    </w:p>
    <w:p>
      <w:pPr>
        <w:pStyle w:val="Heading3"/>
      </w:pPr>
      <w:r>
        <w:t>Teach</w:t>
      </w:r>
    </w:p>
    <w:p>
      <w:pPr>
        <w:pStyle w:val="ListBullet"/>
      </w:pPr>
      <w:r>
        <w:t>Choose an outcome measure linked to safety, clarity, and function: missed handoffs, documented decisions, repeated incidents, response time, or participant-reported confidence.</w:t>
      </w:r>
    </w:p>
    <w:p>
      <w:pPr>
        <w:pStyle w:val="ListBullet"/>
      </w:pPr>
      <w:r>
        <w:t>Set a baseline and review date. Use a small intervention such as a written agenda, single contact channel, role clarification, or supervisor check-in.</w:t>
      </w:r>
    </w:p>
    <w:p>
      <w:pPr>
        <w:pStyle w:val="ListBullet"/>
      </w:pPr>
      <w:r>
        <w:t>Define stop conditions: escalation, retaliation, new safety concerns, or adverse effects.</w:t>
      </w:r>
    </w:p>
    <w:p>
      <w:pPr>
        <w:pStyle w:val="ListBullet"/>
      </w:pPr>
      <w:r>
        <w:t>A plan should identify owner, participants, resources, privacy controls, and what happens if the plan fails.</w:t>
      </w:r>
    </w:p>
    <w:p>
      <w:pPr>
        <w:pStyle w:val="Heading3"/>
      </w:pPr>
      <w:r>
        <w:t>Practice</w:t>
      </w:r>
    </w:p>
    <w:p>
      <w:pPr>
        <w:ind w:left="317" w:hanging="317"/>
      </w:pPr>
      <w:r>
        <w:rPr>
          <w:b/>
        </w:rPr>
        <w:t xml:space="preserve">1. </w:t>
      </w:r>
      <w:r>
        <w:t>Write a 30-day plan with owner, action, date, measure, and review point.</w:t>
      </w:r>
    </w:p>
    <w:p>
      <w:pPr>
        <w:ind w:left="317" w:hanging="317"/>
      </w:pPr>
      <w:r>
        <w:rPr>
          <w:b/>
        </w:rPr>
        <w:t xml:space="preserve">2. </w:t>
      </w:r>
      <w:r>
        <w:t>Name what data will not be collected.</w:t>
      </w:r>
    </w:p>
    <w:p>
      <w:pPr>
        <w:ind w:left="317" w:hanging="317"/>
      </w:pPr>
      <w:r>
        <w:rPr>
          <w:b/>
        </w:rPr>
        <w:t xml:space="preserve">3. </w:t>
      </w:r>
      <w:r>
        <w:t>Ask a neutral reviewer to challenge assumptions and check for unfairness.</w:t>
      </w:r>
    </w:p>
    <w:p>
      <w:pPr>
        <w:ind w:left="317" w:hanging="317"/>
      </w:pPr>
      <w:r>
        <w:rPr>
          <w:b/>
        </w:rPr>
        <w:t xml:space="preserve">4. </w:t>
      </w:r>
      <w:r>
        <w:t>Set a stop-and-escalate trigger.</w:t>
      </w:r>
    </w:p>
    <w:p>
      <w:r>
        <w:rPr>
          <w:b/>
        </w:rPr>
        <w:t>Required output:</w:t>
      </w:r>
      <w:r>
        <w:t xml:space="preserve"> A one-page implementation plan.</w:t>
      </w:r>
    </w:p>
    <w:p>
      <w:r>
        <w:rPr>
          <w:b/>
        </w:rPr>
        <w:t>Mastery check:</w:t>
      </w:r>
      <w:r>
        <w:t xml:space="preserve"> The plan is measurable, bounded, privacy-conscious, and reversible where possible.</w:t>
      </w:r>
    </w:p>
    <w:p>
      <w:pPr>
        <w:pStyle w:val="Heading2"/>
      </w:pPr>
      <w:r>
        <w:t>Module 8  Capstone and teach-back</w:t>
      </w:r>
    </w:p>
    <w:p>
      <w:r>
        <w:rPr>
          <w:b/>
        </w:rPr>
        <w:t>Purpose:</w:t>
      </w:r>
      <w:r>
        <w:t xml:space="preserve"> Demonstrate the full anti-chaos cycle and teach it without overclaiming.</w:t>
      </w:r>
    </w:p>
    <w:p>
      <w:pPr>
        <w:pStyle w:val="Heading3"/>
      </w:pPr>
      <w:r>
        <w:t>Teach</w:t>
      </w:r>
    </w:p>
    <w:p>
      <w:pPr>
        <w:pStyle w:val="ListBullet"/>
      </w:pPr>
      <w:r>
        <w:t>The cycle: stabilize → observe → analyze → map → choose → communicate → review.</w:t>
      </w:r>
    </w:p>
    <w:p>
      <w:pPr>
        <w:pStyle w:val="ListBullet"/>
      </w:pPr>
      <w:r>
        <w:t>A strong case presentation includes evidence, uncertainty, competing explanations, participant agency, safety considerations, and a reviewable decision.</w:t>
      </w:r>
    </w:p>
    <w:p>
      <w:pPr>
        <w:pStyle w:val="ListBullet"/>
      </w:pPr>
      <w:r>
        <w:t>A practitioner knows the limits of the method and when to refer.</w:t>
      </w:r>
    </w:p>
    <w:p>
      <w:pPr>
        <w:pStyle w:val="Heading3"/>
      </w:pPr>
      <w:r>
        <w:t>Practice</w:t>
      </w:r>
    </w:p>
    <w:p>
      <w:pPr>
        <w:ind w:left="317" w:hanging="317"/>
      </w:pPr>
      <w:r>
        <w:rPr>
          <w:b/>
        </w:rPr>
        <w:t xml:space="preserve">1. </w:t>
      </w:r>
      <w:r>
        <w:t>Present a fictional or consented, de-identified case in five minutes.</w:t>
      </w:r>
    </w:p>
    <w:p>
      <w:pPr>
        <w:ind w:left="317" w:hanging="317"/>
      </w:pPr>
      <w:r>
        <w:rPr>
          <w:b/>
        </w:rPr>
        <w:t xml:space="preserve">2. </w:t>
      </w:r>
      <w:r>
        <w:t>Show the event record, pattern analysis, system map, chosen response, and success measure.</w:t>
      </w:r>
    </w:p>
    <w:p>
      <w:pPr>
        <w:ind w:left="317" w:hanging="317"/>
      </w:pPr>
      <w:r>
        <w:rPr>
          <w:b/>
        </w:rPr>
        <w:t xml:space="preserve">3. </w:t>
      </w:r>
      <w:r>
        <w:t>Receive peer review on accuracy, proportionality, privacy, and clarity.</w:t>
      </w:r>
    </w:p>
    <w:p>
      <w:pPr>
        <w:ind w:left="317" w:hanging="317"/>
      </w:pPr>
      <w:r>
        <w:rPr>
          <w:b/>
        </w:rPr>
        <w:t xml:space="preserve">4. </w:t>
      </w:r>
      <w:r>
        <w:t>Revise the plan and deliver a two-minute teach-back.</w:t>
      </w:r>
    </w:p>
    <w:p>
      <w:r>
        <w:rPr>
          <w:b/>
        </w:rPr>
        <w:t>Required output:</w:t>
      </w:r>
      <w:r>
        <w:t xml:space="preserve"> Capstone case file and personal practice commitment.</w:t>
      </w:r>
    </w:p>
    <w:p>
      <w:r>
        <w:rPr>
          <w:b/>
        </w:rPr>
        <w:t>Mastery check:</w:t>
      </w:r>
      <w:r>
        <w:t xml:space="preserve"> The learner meets the rubric threshold on evidence, safety, ethics, implementation, and communication.</w:t>
      </w:r>
    </w:p>
    <w:p>
      <w:pPr>
        <w:pStyle w:val="Heading1"/>
      </w:pPr>
      <w:r>
        <w:t>Implementation playbook for organizations</w:t>
      </w:r>
    </w:p>
    <w:p>
      <w:pPr>
        <w:ind w:left="317" w:hanging="317"/>
      </w:pPr>
      <w:r>
        <w:rPr>
          <w:b/>
        </w:rPr>
        <w:t xml:space="preserve">1. </w:t>
      </w:r>
      <w:r>
        <w:t>Name a sponsor and an accountable facilitator. Define the setting, eligible participants, referral supports, and limits of confidentiality.</w:t>
      </w:r>
    </w:p>
    <w:p>
      <w:pPr>
        <w:ind w:left="317" w:hanging="317"/>
      </w:pPr>
      <w:r>
        <w:rPr>
          <w:b/>
        </w:rPr>
        <w:t xml:space="preserve">2. </w:t>
      </w:r>
      <w:r>
        <w:t>Adopt a short written protocol covering intake, safety triage, documentation, access control, retention, escalation, and appeal/correction.</w:t>
      </w:r>
    </w:p>
    <w:p>
      <w:pPr>
        <w:ind w:left="317" w:hanging="317"/>
      </w:pPr>
      <w:r>
        <w:rPr>
          <w:b/>
        </w:rPr>
        <w:t xml:space="preserve">3. </w:t>
      </w:r>
      <w:r>
        <w:t>Train a pilot cohort using fictional cases. Do not collect sensitive participant histories as a condition of attendance.</w:t>
      </w:r>
    </w:p>
    <w:p>
      <w:pPr>
        <w:ind w:left="317" w:hanging="317"/>
      </w:pPr>
      <w:r>
        <w:rPr>
          <w:b/>
        </w:rPr>
        <w:t xml:space="preserve">4. </w:t>
      </w:r>
      <w:r>
        <w:t>Run one 30-day pilot. Review participation, usefulness, safety signals, and unintended effects with an independent reviewer.</w:t>
      </w:r>
    </w:p>
    <w:p>
      <w:pPr>
        <w:ind w:left="317" w:hanging="317"/>
      </w:pPr>
      <w:r>
        <w:rPr>
          <w:b/>
        </w:rPr>
        <w:t xml:space="preserve">5. </w:t>
      </w:r>
      <w:r>
        <w:t>Revise scripts, forms, and referral routes. Publish only aggregate, privacy-protected lessons.</w:t>
      </w:r>
    </w:p>
    <w:p>
      <w:pPr>
        <w:ind w:left="317" w:hanging="317"/>
      </w:pPr>
      <w:r>
        <w:rPr>
          <w:b/>
        </w:rPr>
        <w:t xml:space="preserve">6. </w:t>
      </w:r>
      <w:r>
        <w:t>Scale only after support capacity, data controls, accessibility, and safeguarding duties are in place. Reassess quarterly.</w:t>
      </w:r>
    </w:p>
    <w:p>
      <w:pPr>
        <w:pStyle w:val="Heading1"/>
      </w:pPr>
      <w:r>
        <w:t>Mastery and certification rubric</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tblHeader w:val="true"/>
          <w:cantSplit/>
        </w:trPr>
        <w:tc>
          <w:tcPr>
            <w:tcW w:type="dxa" w:w="1987"/>
            <w:shd w:fill="18324B"/>
            <w:vAlign w:val="center"/>
          </w:tcPr>
          <w:p>
            <w:r>
              <w:rPr>
                <w:b/>
                <w:color w:val="FFFFFF"/>
                <w:sz w:val="18"/>
              </w:rPr>
              <w:t>Domain</w:t>
            </w:r>
          </w:p>
        </w:tc>
        <w:tc>
          <w:tcPr>
            <w:tcW w:type="dxa" w:w="1987"/>
            <w:shd w:fill="18324B"/>
            <w:vAlign w:val="center"/>
          </w:tcPr>
          <w:p>
            <w:r>
              <w:rPr>
                <w:b/>
                <w:color w:val="FFFFFF"/>
                <w:sz w:val="18"/>
              </w:rPr>
              <w:t>1 — Needs practice</w:t>
            </w:r>
          </w:p>
        </w:tc>
        <w:tc>
          <w:tcPr>
            <w:tcW w:type="dxa" w:w="1987"/>
            <w:shd w:fill="18324B"/>
            <w:vAlign w:val="center"/>
          </w:tcPr>
          <w:p>
            <w:r>
              <w:rPr>
                <w:b/>
                <w:color w:val="FFFFFF"/>
                <w:sz w:val="18"/>
              </w:rPr>
              <w:t>2 — Developing</w:t>
            </w:r>
          </w:p>
        </w:tc>
        <w:tc>
          <w:tcPr>
            <w:tcW w:type="dxa" w:w="1987"/>
            <w:shd w:fill="18324B"/>
            <w:vAlign w:val="center"/>
          </w:tcPr>
          <w:p>
            <w:r>
              <w:rPr>
                <w:b/>
                <w:color w:val="FFFFFF"/>
                <w:sz w:val="18"/>
              </w:rPr>
              <w:t>3 — Ready to apply</w:t>
            </w:r>
          </w:p>
        </w:tc>
        <w:tc>
          <w:tcPr>
            <w:tcW w:type="dxa" w:w="1987"/>
            <w:shd w:fill="18324B"/>
            <w:vAlign w:val="center"/>
          </w:tcPr>
          <w:p>
            <w:r>
              <w:rPr>
                <w:b/>
                <w:color w:val="FFFFFF"/>
                <w:sz w:val="18"/>
              </w:rPr>
              <w:t>4 — Can coach</w:t>
            </w:r>
          </w:p>
        </w:tc>
      </w:tr>
      <w:tr>
        <w:trPr>
          <w:cantSplit/>
        </w:trPr>
        <w:tc>
          <w:tcPr>
            <w:tcW w:type="dxa" w:w="1987"/>
            <w:vAlign w:val="center"/>
          </w:tcPr>
          <w:p>
            <w:pPr>
              <w:spacing w:after="60" w:before="60"/>
            </w:pPr>
            <w:r>
              <w:rPr>
                <w:sz w:val="18"/>
              </w:rPr>
              <w:t>Evidence discipline</w:t>
            </w:r>
          </w:p>
        </w:tc>
        <w:tc>
          <w:tcPr>
            <w:tcW w:type="dxa" w:w="1987"/>
            <w:vAlign w:val="center"/>
          </w:tcPr>
          <w:p>
            <w:pPr>
              <w:spacing w:after="60" w:before="60"/>
            </w:pPr>
            <w:r>
              <w:rPr>
                <w:sz w:val="18"/>
              </w:rPr>
              <w:t>Confuses inference with fact</w:t>
            </w:r>
          </w:p>
        </w:tc>
        <w:tc>
          <w:tcPr>
            <w:tcW w:type="dxa" w:w="1987"/>
            <w:vAlign w:val="center"/>
          </w:tcPr>
          <w:p>
            <w:pPr>
              <w:spacing w:after="60" w:before="60"/>
            </w:pPr>
            <w:r>
              <w:rPr>
                <w:sz w:val="18"/>
              </w:rPr>
              <w:t>Labels some uncertainty</w:t>
            </w:r>
          </w:p>
        </w:tc>
        <w:tc>
          <w:tcPr>
            <w:tcW w:type="dxa" w:w="1987"/>
            <w:vAlign w:val="center"/>
          </w:tcPr>
          <w:p>
            <w:pPr>
              <w:spacing w:after="60" w:before="60"/>
            </w:pPr>
            <w:r>
              <w:rPr>
                <w:sz w:val="18"/>
              </w:rPr>
              <w:t>Separates sources and gaps consistently</w:t>
            </w:r>
          </w:p>
        </w:tc>
        <w:tc>
          <w:tcPr>
            <w:tcW w:type="dxa" w:w="1987"/>
            <w:vAlign w:val="center"/>
          </w:tcPr>
          <w:p>
            <w:pPr>
              <w:spacing w:after="60" w:before="60"/>
            </w:pPr>
            <w:r>
              <w:rPr>
                <w:sz w:val="18"/>
              </w:rPr>
              <w:t>Corrects group overclaiming</w:t>
            </w:r>
          </w:p>
        </w:tc>
      </w:tr>
      <w:tr>
        <w:trPr>
          <w:cantSplit/>
        </w:trPr>
        <w:tc>
          <w:tcPr>
            <w:tcW w:type="dxa" w:w="1987"/>
            <w:vAlign w:val="center"/>
            <w:shd w:fill="F3F6F8"/>
          </w:tcPr>
          <w:p>
            <w:pPr>
              <w:spacing w:after="60" w:before="60"/>
            </w:pPr>
            <w:r>
              <w:rPr>
                <w:sz w:val="18"/>
              </w:rPr>
              <w:t>Safety and proportionality</w:t>
            </w:r>
          </w:p>
        </w:tc>
        <w:tc>
          <w:tcPr>
            <w:tcW w:type="dxa" w:w="1987"/>
            <w:vAlign w:val="center"/>
            <w:shd w:fill="F3F6F8"/>
          </w:tcPr>
          <w:p>
            <w:pPr>
              <w:spacing w:after="60" w:before="60"/>
            </w:pPr>
            <w:r>
              <w:rPr>
                <w:sz w:val="18"/>
              </w:rPr>
              <w:t>Misses risk or escalates impulsively</w:t>
            </w:r>
          </w:p>
        </w:tc>
        <w:tc>
          <w:tcPr>
            <w:tcW w:type="dxa" w:w="1987"/>
            <w:vAlign w:val="center"/>
            <w:shd w:fill="F3F6F8"/>
          </w:tcPr>
          <w:p>
            <w:pPr>
              <w:spacing w:after="60" w:before="60"/>
            </w:pPr>
            <w:r>
              <w:rPr>
                <w:sz w:val="18"/>
              </w:rPr>
              <w:t>Recognizes common risk</w:t>
            </w:r>
          </w:p>
        </w:tc>
        <w:tc>
          <w:tcPr>
            <w:tcW w:type="dxa" w:w="1987"/>
            <w:vAlign w:val="center"/>
            <w:shd w:fill="F3F6F8"/>
          </w:tcPr>
          <w:p>
            <w:pPr>
              <w:spacing w:after="60" w:before="60"/>
            </w:pPr>
            <w:r>
              <w:rPr>
                <w:sz w:val="18"/>
              </w:rPr>
              <w:t>Chooses safe, proportionate routes</w:t>
            </w:r>
          </w:p>
        </w:tc>
        <w:tc>
          <w:tcPr>
            <w:tcW w:type="dxa" w:w="1987"/>
            <w:vAlign w:val="center"/>
            <w:shd w:fill="F3F6F8"/>
          </w:tcPr>
          <w:p>
            <w:pPr>
              <w:spacing w:after="60" w:before="60"/>
            </w:pPr>
            <w:r>
              <w:rPr>
                <w:sz w:val="18"/>
              </w:rPr>
              <w:t>Adapts routes and coaches others</w:t>
            </w:r>
          </w:p>
        </w:tc>
      </w:tr>
      <w:tr>
        <w:trPr>
          <w:cantSplit/>
        </w:trPr>
        <w:tc>
          <w:tcPr>
            <w:tcW w:type="dxa" w:w="1987"/>
            <w:vAlign w:val="center"/>
          </w:tcPr>
          <w:p>
            <w:pPr>
              <w:spacing w:after="60" w:before="60"/>
            </w:pPr>
            <w:r>
              <w:rPr>
                <w:sz w:val="18"/>
              </w:rPr>
              <w:t>Communication</w:t>
            </w:r>
          </w:p>
        </w:tc>
        <w:tc>
          <w:tcPr>
            <w:tcW w:type="dxa" w:w="1987"/>
            <w:vAlign w:val="center"/>
          </w:tcPr>
          <w:p>
            <w:pPr>
              <w:spacing w:after="60" w:before="60"/>
            </w:pPr>
            <w:r>
              <w:rPr>
                <w:sz w:val="18"/>
              </w:rPr>
              <w:t>Accusatory or unclear</w:t>
            </w:r>
          </w:p>
        </w:tc>
        <w:tc>
          <w:tcPr>
            <w:tcW w:type="dxa" w:w="1987"/>
            <w:vAlign w:val="center"/>
          </w:tcPr>
          <w:p>
            <w:pPr>
              <w:spacing w:after="60" w:before="60"/>
            </w:pPr>
            <w:r>
              <w:rPr>
                <w:sz w:val="18"/>
              </w:rPr>
              <w:t>Generally clear with excess detail</w:t>
            </w:r>
          </w:p>
        </w:tc>
        <w:tc>
          <w:tcPr>
            <w:tcW w:type="dxa" w:w="1987"/>
            <w:vAlign w:val="center"/>
          </w:tcPr>
          <w:p>
            <w:pPr>
              <w:spacing w:after="60" w:before="60"/>
            </w:pPr>
            <w:r>
              <w:rPr>
                <w:sz w:val="18"/>
              </w:rPr>
              <w:t>Brief, respectful, actionable</w:t>
            </w:r>
          </w:p>
        </w:tc>
        <w:tc>
          <w:tcPr>
            <w:tcW w:type="dxa" w:w="1987"/>
            <w:vAlign w:val="center"/>
          </w:tcPr>
          <w:p>
            <w:pPr>
              <w:spacing w:after="60" w:before="60"/>
            </w:pPr>
            <w:r>
              <w:rPr>
                <w:sz w:val="18"/>
              </w:rPr>
              <w:t>Models repair and de-escalation</w:t>
            </w:r>
          </w:p>
        </w:tc>
      </w:tr>
      <w:tr>
        <w:trPr>
          <w:cantSplit/>
        </w:trPr>
        <w:tc>
          <w:tcPr>
            <w:tcW w:type="dxa" w:w="1987"/>
            <w:vAlign w:val="center"/>
            <w:shd w:fill="F3F6F8"/>
          </w:tcPr>
          <w:p>
            <w:pPr>
              <w:spacing w:after="60" w:before="60"/>
            </w:pPr>
            <w:r>
              <w:rPr>
                <w:sz w:val="18"/>
              </w:rPr>
              <w:t>Privacy and ethics</w:t>
            </w:r>
          </w:p>
        </w:tc>
        <w:tc>
          <w:tcPr>
            <w:tcW w:type="dxa" w:w="1987"/>
            <w:vAlign w:val="center"/>
            <w:shd w:fill="F3F6F8"/>
          </w:tcPr>
          <w:p>
            <w:pPr>
              <w:spacing w:after="60" w:before="60"/>
            </w:pPr>
            <w:r>
              <w:rPr>
                <w:sz w:val="18"/>
              </w:rPr>
              <w:t>Overcollects or shares broadly</w:t>
            </w:r>
          </w:p>
        </w:tc>
        <w:tc>
          <w:tcPr>
            <w:tcW w:type="dxa" w:w="1987"/>
            <w:vAlign w:val="center"/>
            <w:shd w:fill="F3F6F8"/>
          </w:tcPr>
          <w:p>
            <w:pPr>
              <w:spacing w:after="60" w:before="60"/>
            </w:pPr>
            <w:r>
              <w:rPr>
                <w:sz w:val="18"/>
              </w:rPr>
              <w:t>Understands basics</w:t>
            </w:r>
          </w:p>
        </w:tc>
        <w:tc>
          <w:tcPr>
            <w:tcW w:type="dxa" w:w="1987"/>
            <w:vAlign w:val="center"/>
            <w:shd w:fill="F3F6F8"/>
          </w:tcPr>
          <w:p>
            <w:pPr>
              <w:spacing w:after="60" w:before="60"/>
            </w:pPr>
            <w:r>
              <w:rPr>
                <w:sz w:val="18"/>
              </w:rPr>
              <w:t>Minimizes data and controls access</w:t>
            </w:r>
          </w:p>
        </w:tc>
        <w:tc>
          <w:tcPr>
            <w:tcW w:type="dxa" w:w="1987"/>
            <w:vAlign w:val="center"/>
            <w:shd w:fill="F3F6F8"/>
          </w:tcPr>
          <w:p>
            <w:pPr>
              <w:spacing w:after="60" w:before="60"/>
            </w:pPr>
            <w:r>
              <w:rPr>
                <w:sz w:val="18"/>
              </w:rPr>
              <w:t>Audits privacy and power effects</w:t>
            </w:r>
          </w:p>
        </w:tc>
      </w:tr>
      <w:tr>
        <w:trPr>
          <w:cantSplit/>
        </w:trPr>
        <w:tc>
          <w:tcPr>
            <w:tcW w:type="dxa" w:w="1987"/>
            <w:vAlign w:val="center"/>
          </w:tcPr>
          <w:p>
            <w:pPr>
              <w:spacing w:after="60" w:before="60"/>
            </w:pPr>
            <w:r>
              <w:rPr>
                <w:sz w:val="18"/>
              </w:rPr>
              <w:t>Implementation</w:t>
            </w:r>
          </w:p>
        </w:tc>
        <w:tc>
          <w:tcPr>
            <w:tcW w:type="dxa" w:w="1987"/>
            <w:vAlign w:val="center"/>
          </w:tcPr>
          <w:p>
            <w:pPr>
              <w:spacing w:after="60" w:before="60"/>
            </w:pPr>
            <w:r>
              <w:rPr>
                <w:sz w:val="18"/>
              </w:rPr>
              <w:t>No measurable follow-through</w:t>
            </w:r>
          </w:p>
        </w:tc>
        <w:tc>
          <w:tcPr>
            <w:tcW w:type="dxa" w:w="1987"/>
            <w:vAlign w:val="center"/>
          </w:tcPr>
          <w:p>
            <w:pPr>
              <w:spacing w:after="60" w:before="60"/>
            </w:pPr>
            <w:r>
              <w:rPr>
                <w:sz w:val="18"/>
              </w:rPr>
              <w:t>Basic task list</w:t>
            </w:r>
          </w:p>
        </w:tc>
        <w:tc>
          <w:tcPr>
            <w:tcW w:type="dxa" w:w="1987"/>
            <w:vAlign w:val="center"/>
          </w:tcPr>
          <w:p>
            <w:pPr>
              <w:spacing w:after="60" w:before="60"/>
            </w:pPr>
            <w:r>
              <w:rPr>
                <w:sz w:val="18"/>
              </w:rPr>
              <w:t>Owner, measure, deadline, review</w:t>
            </w:r>
          </w:p>
        </w:tc>
        <w:tc>
          <w:tcPr>
            <w:tcW w:type="dxa" w:w="1987"/>
            <w:vAlign w:val="center"/>
          </w:tcPr>
          <w:p>
            <w:pPr>
              <w:spacing w:after="60" w:before="60"/>
            </w:pPr>
            <w:r>
              <w:rPr>
                <w:sz w:val="18"/>
              </w:rPr>
              <w:t>Builds sustainable local practice</w:t>
            </w:r>
          </w:p>
        </w:tc>
      </w:tr>
    </w:tbl>
    <w:p>
      <w:pPr>
        <w:spacing w:after="40"/>
      </w:pPr>
    </w:p>
    <w:p>
      <w:r>
        <w:t>Recommended completion threshold: score 3 or 4 in every domain, with no unresolved safety or privacy concern. A course certificate confirms training completion; it does not confer clinical, legal, investigative, security, or crisis-response credentials.</w:t>
      </w:r>
    </w:p>
    <w:p>
      <w:pPr>
        <w:pStyle w:val="Heading1"/>
      </w:pPr>
      <w:r>
        <w:t>Facilitator guidance</w:t>
      </w:r>
    </w:p>
    <w:p>
      <w:pPr>
        <w:pStyle w:val="ListBullet"/>
      </w:pPr>
      <w:r>
        <w:t>Begin with participant choice, accessibility needs, and a clear right to pass.</w:t>
      </w:r>
    </w:p>
    <w:p>
      <w:pPr>
        <w:pStyle w:val="ListBullet"/>
      </w:pPr>
      <w:r>
        <w:t>Use composite fictional cases. If real examples arise, redirect away from names and identifying details.</w:t>
      </w:r>
    </w:p>
    <w:p>
      <w:pPr>
        <w:pStyle w:val="ListBullet"/>
      </w:pPr>
      <w:r>
        <w:t>Do not adjudicate who is “the manipulator.” Keep the group focused on behavior, impact, evidence, and safe next steps.</w:t>
      </w:r>
    </w:p>
    <w:p>
      <w:pPr>
        <w:pStyle w:val="ListBullet"/>
      </w:pPr>
      <w:r>
        <w:t>Interrupt retaliation planning, stalking, doxxing, unauthorized access, deceptive “tests,” and instructions to isolate someone from all support.</w:t>
      </w:r>
    </w:p>
    <w:p>
      <w:pPr>
        <w:pStyle w:val="ListBullet"/>
      </w:pPr>
      <w:r>
        <w:t>Offer a private referral route and a pause option. Do not promise confidentiality beyond actual policy and law.</w:t>
      </w:r>
    </w:p>
    <w:p>
      <w:pPr>
        <w:pStyle w:val="ListBullet"/>
      </w:pPr>
      <w:r>
        <w:t>Close each session with grounding, one practical next step, and reminder of available supports.</w:t>
      </w:r>
    </w:p>
    <w:p>
      <w:pPr>
        <w:pStyle w:val="Heading1"/>
      </w:pPr>
      <w:r>
        <w:t>Core practitioner checklist</w:t>
      </w:r>
    </w:p>
    <w:p>
      <w:pPr>
        <w:ind w:left="317" w:hanging="317"/>
      </w:pPr>
      <w:r>
        <w:rPr>
          <w:b/>
        </w:rPr>
        <w:t xml:space="preserve">1. </w:t>
      </w:r>
      <w:r>
        <w:t>Is anyone in immediate danger or subject to a safeguarding duty?</w:t>
      </w:r>
    </w:p>
    <w:p>
      <w:pPr>
        <w:ind w:left="317" w:hanging="317"/>
      </w:pPr>
      <w:r>
        <w:rPr>
          <w:b/>
        </w:rPr>
        <w:t xml:space="preserve">2. </w:t>
      </w:r>
      <w:r>
        <w:t>What exactly happened, and how do I know?</w:t>
      </w:r>
    </w:p>
    <w:p>
      <w:pPr>
        <w:ind w:left="317" w:hanging="317"/>
      </w:pPr>
      <w:r>
        <w:rPr>
          <w:b/>
        </w:rPr>
        <w:t xml:space="preserve">3. </w:t>
      </w:r>
      <w:r>
        <w:t>What is uncertain, and what other explanations fit?</w:t>
      </w:r>
    </w:p>
    <w:p>
      <w:pPr>
        <w:ind w:left="317" w:hanging="317"/>
      </w:pPr>
      <w:r>
        <w:rPr>
          <w:b/>
        </w:rPr>
        <w:t xml:space="preserve">4. </w:t>
      </w:r>
      <w:r>
        <w:t>What outcome needs protection or restoration?</w:t>
      </w:r>
    </w:p>
    <w:p>
      <w:pPr>
        <w:ind w:left="317" w:hanging="317"/>
      </w:pPr>
      <w:r>
        <w:rPr>
          <w:b/>
        </w:rPr>
        <w:t xml:space="preserve">5. </w:t>
      </w:r>
      <w:r>
        <w:t>What is the least escalatory, lawful, proportionate next step?</w:t>
      </w:r>
    </w:p>
    <w:p>
      <w:pPr>
        <w:ind w:left="317" w:hanging="317"/>
      </w:pPr>
      <w:r>
        <w:rPr>
          <w:b/>
        </w:rPr>
        <w:t xml:space="preserve">6. </w:t>
      </w:r>
      <w:r>
        <w:t>Who needs to know, and what minimum information is necessary?</w:t>
      </w:r>
    </w:p>
    <w:p>
      <w:pPr>
        <w:ind w:left="317" w:hanging="317"/>
      </w:pPr>
      <w:r>
        <w:rPr>
          <w:b/>
        </w:rPr>
        <w:t xml:space="preserve">7. </w:t>
      </w:r>
      <w:r>
        <w:t>How will I know whether the step helped? When will I review it?</w:t>
      </w:r>
    </w:p>
    <w:p>
      <w:pPr>
        <w:pStyle w:val="Heading1"/>
        <w:keepNext/>
      </w:pPr>
      <w:r>
        <w:t>Advanced Module 9  Trace trajectories across networks</w:t>
      </w:r>
    </w:p>
    <w:p>
      <w:pPr>
        <w:keepLines/>
        <w:spacing w:before="43" w:after="144"/>
        <w:jc w:val="center"/>
      </w:pPr>
      <w:r>
        <w:drawing>
          <wp:inline xmlns:a="http://schemas.openxmlformats.org/drawingml/2006/main" xmlns:pic="http://schemas.openxmlformats.org/drawingml/2006/picture">
            <wp:extent cx="4114800" cy="2743200"/>
            <wp:docPr id="5" name="Picture 5" descr="An open field atlas with branching routes represents careful review of possible outcomes." title="Anti Chaos Review"/>
            <wp:cNvGraphicFramePr>
              <a:graphicFrameLocks noChangeAspect="1"/>
            </wp:cNvGraphicFramePr>
            <a:graphic>
              <a:graphicData uri="http://schemas.openxmlformats.org/drawingml/2006/picture">
                <pic:pic>
                  <pic:nvPicPr>
                    <pic:cNvPr id="0" name="anti-chaos-review.jpg"/>
                    <pic:cNvPicPr/>
                  </pic:nvPicPr>
                  <pic:blipFill>
                    <a:blip r:embed="rId14"/>
                    <a:stretch>
                      <a:fillRect/>
                    </a:stretch>
                  </pic:blipFill>
                  <pic:spPr>
                    <a:xfrm>
                      <a:off x="0" y="0"/>
                      <a:ext cx="4114800" cy="2743200"/>
                    </a:xfrm>
                    <a:prstGeom prst="rect"/>
                  </pic:spPr>
                </pic:pic>
              </a:graphicData>
            </a:graphic>
          </wp:inline>
        </w:drawing>
      </w:r>
    </w:p>
    <w:p>
      <w:r>
        <w:rPr>
          <w:b/>
        </w:rPr>
        <w:t>Purpose:</w:t>
      </w:r>
      <w:r>
        <w:t xml:space="preserve"> Analyze how a recurring conflict pattern may develop within one relationship, across a group, and between connected organizations. The exercise tests whether responsibility or cost is repeatedly shifted onto others; it does not assume that every person will eventually be blamed or discarded.</w:t>
      </w:r>
    </w:p>
    <w:p>
      <w:pPr>
        <w:pStyle w:val="Heading2"/>
      </w:pPr>
      <w:r>
        <w:t>Teach</w:t>
      </w:r>
    </w:p>
    <w:p>
      <w:pPr>
        <w:pStyle w:val="ListBullet"/>
      </w:pPr>
      <w:r>
        <w:t>“Thrown under the bus” is a plain-language description, not a clinical term. Operationalize it as an observable event such as public blame transfer, withdrawal of prior authorization, exposure of private information, assignment of disproportionate responsibility, or exclusion after a disagreement.</w:t>
      </w:r>
    </w:p>
    <w:p>
      <w:pPr>
        <w:pStyle w:val="ListBullet"/>
      </w:pPr>
      <w:r>
        <w:t>An internal process is not directly observable. Status concerns, fear, resource scarcity, loyalty, self-protection, and shame may be hypotheses. Record the external behavior separately; do not claim access to another person’s thoughts.</w:t>
      </w:r>
    </w:p>
    <w:p>
      <w:pPr>
        <w:pStyle w:val="ListBullet"/>
      </w:pPr>
      <w:r>
        <w:t>A trajectory is a map of possible stages, not a universal sequence: baseline conditions → alignment or role assignment → strain or contradiction → response to strain → responsibility allocation → repair, continued cooperation, exit, or scapegoating.</w:t>
      </w:r>
    </w:p>
    <w:p>
      <w:pPr>
        <w:pStyle w:val="ListBullet"/>
      </w:pPr>
      <w:r>
        <w:t>Network-of-networks analysis traces how a message or decision crosses group boundaries. A relay, shared membership, or similar account is not proof of coordination.</w:t>
      </w:r>
    </w:p>
    <w:p>
      <w:pPr>
        <w:pStyle w:val="ListBullet"/>
      </w:pPr>
      <w:r>
        <w:t>Test the absolute claim “everyone is eventually blamed” against all known cases, including people who remained supported, repaired a conflict, left without blame, or whose outcome is unknown.</w:t>
      </w:r>
    </w:p>
    <w:p>
      <w:pPr>
        <w:pStyle w:val="Heading2"/>
      </w:pPr>
      <w:r>
        <w:t>Practice</w:t>
      </w:r>
    </w:p>
    <w:p>
      <w:pPr>
        <w:ind w:left="317" w:hanging="317"/>
      </w:pPr>
      <w:r>
        <w:rPr>
          <w:b/>
        </w:rPr>
        <w:t xml:space="preserve">1. </w:t>
      </w:r>
      <w:r>
        <w:t>Choose a fictional or safely de-identified case and define the observation window.</w:t>
      </w:r>
    </w:p>
    <w:p>
      <w:pPr>
        <w:ind w:left="317" w:hanging="317"/>
      </w:pPr>
      <w:r>
        <w:rPr>
          <w:b/>
        </w:rPr>
        <w:t xml:space="preserve">2. </w:t>
      </w:r>
      <w:r>
        <w:t>List each consequential episode in date order and mark the evidence source and confidence.</w:t>
      </w:r>
    </w:p>
    <w:p>
      <w:pPr>
        <w:ind w:left="317" w:hanging="317"/>
      </w:pPr>
      <w:r>
        <w:rPr>
          <w:b/>
        </w:rPr>
        <w:t xml:space="preserve">3. </w:t>
      </w:r>
      <w:r>
        <w:t>For each episode, code what changed: task, access, status, narrative, support, or responsibility.</w:t>
      </w:r>
    </w:p>
    <w:p>
      <w:pPr>
        <w:ind w:left="317" w:hanging="317"/>
      </w:pPr>
      <w:r>
        <w:rPr>
          <w:b/>
        </w:rPr>
        <w:t xml:space="preserve">4. </w:t>
      </w:r>
      <w:r>
        <w:t>Map who carried the benefit, burden, risk, or blame before and after the event. Mark unknowns.</w:t>
      </w:r>
    </w:p>
    <w:p>
      <w:pPr>
        <w:ind w:left="317" w:hanging="317"/>
      </w:pPr>
      <w:r>
        <w:rPr>
          <w:b/>
        </w:rPr>
        <w:t xml:space="preserve">5. </w:t>
      </w:r>
      <w:r>
        <w:t>Add at least two plausible non-malicious or process-based explanations.</w:t>
      </w:r>
    </w:p>
    <w:p>
      <w:pPr>
        <w:ind w:left="317" w:hanging="317"/>
      </w:pPr>
      <w:r>
        <w:rPr>
          <w:b/>
        </w:rPr>
        <w:t xml:space="preserve">6. </w:t>
      </w:r>
      <w:r>
        <w:t>Identify evidence that would support, weaken, or falsify the proposed trajectory.</w:t>
      </w:r>
    </w:p>
    <w:p>
      <w:pPr>
        <w:ind w:left="317" w:hanging="317"/>
      </w:pPr>
      <w:r>
        <w:rPr>
          <w:b/>
        </w:rPr>
        <w:t xml:space="preserve">7. </w:t>
      </w:r>
      <w:r>
        <w:t>Choose a protective, non-retaliatory response and a review point.</w:t>
      </w:r>
    </w:p>
    <w:p>
      <w:r>
        <w:rPr>
          <w:b/>
        </w:rPr>
        <w:t>Required output:</w:t>
      </w:r>
      <w:r>
        <w:t xml:space="preserve"> A trajectory map with competing pathways, case denominator, evidence gaps, and one proportionate implementation action.</w:t>
      </w:r>
    </w:p>
    <w:p>
      <w:r>
        <w:rPr>
          <w:b/>
        </w:rPr>
        <w:t>Mastery check:</w:t>
      </w:r>
      <w:r>
        <w:t xml:space="preserve"> The learner distinguishes internal hypotheses from observable events, considers counterexamples, and does not present scapegoating as inevitable.</w:t>
      </w:r>
    </w:p>
    <w:p>
      <w:pPr>
        <w:pStyle w:val="Heading2"/>
      </w:pPr>
      <w:r>
        <w:t>Trajectory module safeguards</w:t>
      </w:r>
    </w:p>
    <w:p>
      <w:pPr>
        <w:pStyle w:val="ListBullet"/>
      </w:pPr>
      <w:r>
        <w:t>Do not infer a conspiracy from contact, timing, or similar language alone.</w:t>
      </w:r>
    </w:p>
    <w:p>
      <w:pPr>
        <w:pStyle w:val="ListBullet"/>
      </w:pPr>
      <w:r>
        <w:t>Do not use secret tests, planted information, surveillance, public accusations, or retaliatory exposure.</w:t>
      </w:r>
    </w:p>
    <w:p>
      <w:pPr>
        <w:pStyle w:val="ListBullet"/>
      </w:pPr>
      <w:r>
        <w:t>Use the organization’s safeguarding, reporting, and due-process pathways when a real case involves safety or serious misconduct.</w:t>
      </w:r>
    </w:p>
    <w:p>
      <w:pPr>
        <w:pStyle w:val="ListBullet"/>
      </w:pPr>
      <w:r>
        <w:t>If the exercise creates distress or immediate risk, stop and refer to appropriate support.</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Anti-Chaos Practitioner Curriculum  |  Working edition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24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