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1920"/>
        <w:jc w:val="left"/>
      </w:pPr>
      <w:r>
        <w:t>Hornbook The Unseen War</w:t>
      </w:r>
    </w:p>
    <w:p>
      <w:pPr>
        <w:spacing w:before="86" w:after="173"/>
        <w:jc w:val="center"/>
      </w:pPr>
      <w:r>
        <w:drawing>
          <wp:inline xmlns:a="http://schemas.openxmlformats.org/drawingml/2006/main" xmlns:pic="http://schemas.openxmlformats.org/drawingml/2006/picture">
            <wp:extent cx="3840480" cy="2161418"/>
            <wp:docPr id="1" name="Picture 1" descr="A gold-lit field atlas connects people and communities in a quiet study at dusk." title="Anti Chaos Hero"/>
            <wp:cNvGraphicFramePr>
              <a:graphicFrameLocks noChangeAspect="1"/>
            </wp:cNvGraphicFramePr>
            <a:graphic>
              <a:graphicData uri="http://schemas.openxmlformats.org/drawingml/2006/picture">
                <pic:pic>
                  <pic:nvPicPr>
                    <pic:cNvPr id="0" name="anti-chaos-hero.jpg"/>
                    <pic:cNvPicPr/>
                  </pic:nvPicPr>
                  <pic:blipFill>
                    <a:blip r:embed="rId10"/>
                    <a:stretch>
                      <a:fillRect/>
                    </a:stretch>
                  </pic:blipFill>
                  <pic:spPr>
                    <a:xfrm>
                      <a:off x="0" y="0"/>
                      <a:ext cx="3840480" cy="2161418"/>
                    </a:xfrm>
                    <a:prstGeom prst="rect"/>
                  </pic:spPr>
                </pic:pic>
              </a:graphicData>
            </a:graphic>
          </wp:inline>
        </w:drawing>
      </w:r>
    </w:p>
    <w:p>
      <w:pPr>
        <w:spacing w:after="400"/>
      </w:pPr>
      <w:r>
        <w:rPr>
          <w:color w:val="18324B"/>
          <w:sz w:val="30"/>
        </w:rPr>
        <w:t>A practical guide to recognizing destabilizing patterns and restoring clarity</w:t>
      </w:r>
    </w:p>
    <w:p>
      <w:pPr>
        <w:spacing w:after="60"/>
      </w:pPr>
      <w:r>
        <w:rPr>
          <w:color w:val="444444"/>
          <w:sz w:val="20"/>
        </w:rPr>
        <w:t>Polished working edition</w:t>
      </w:r>
    </w:p>
    <w:p>
      <w:pPr>
        <w:spacing w:after="60"/>
      </w:pPr>
      <w:r>
        <w:rPr>
          <w:color w:val="444444"/>
          <w:sz w:val="20"/>
        </w:rPr>
        <w:t>Prepared from the supplied master manuscript</w:t>
      </w:r>
    </w:p>
    <w:p>
      <w:pPr>
        <w:spacing w:after="60"/>
      </w:pPr>
      <w:r>
        <w:rPr>
          <w:color w:val="444444"/>
          <w:sz w:val="20"/>
        </w:rPr>
        <w:t>Behavior-focused • safety-centered • implementation-ready</w:t>
      </w:r>
    </w:p>
    <w:p>
      <w:pPr>
        <w:spacing w:after="60"/>
      </w:pPr>
      <w:r>
        <w:rPr>
          <w:color w:val="444444"/>
          <w:sz w:val="20"/>
        </w:rPr>
        <w:t>October 2026</w:t>
      </w:r>
    </w:p>
    <w:p>
      <w:pPr>
        <w:pStyle w:val="Heading1"/>
        <w:pageBreakBefore/>
      </w:pPr>
      <w:r>
        <w:t>Editorial note</w:t>
      </w:r>
    </w:p>
    <w:p>
      <w:r>
        <w:t>This working edition reorganizes and polishes the supplied draft into a coherent, practical guide. It keeps the manuscript’s central concern—how repeated pressure, unclear boundaries, unreliable information, and group dynamics can erode a person’s ability to make sound decisions—while revising claims that treated personality labels or hidden motives as established fact. The companion curriculum and workbook translate the method into teachable practice.</w:t>
      </w:r>
    </w:p>
    <w:p>
      <w:r>
        <w:t>The terms “chaos engine” and “anti-chaos engine” are organizing metaphors, not clinical constructs. This book does not diagnose anyone. It focuses on observable conduct, impact, evidence quality, proportionate boundaries, support, and follow-through. A reader does not need to prove malicious intent to ask for clarity, protect private information, or seek help.</w:t>
      </w:r>
    </w:p>
    <w:p>
      <w:pPr>
        <w:pStyle w:val="Heading1"/>
      </w:pPr>
      <w:r>
        <w:t>How to use this guide</w:t>
      </w:r>
    </w:p>
    <w:p>
      <w:r>
        <w:t>Read Part I for the framework, Part II for observing interaction and group systems, and Part III for the response cycle. Use the companion workbook to practice with fictional or de-identified cases. Do not use the exercises to test loyalty, provoke a reaction, monitor private activity, or build a dossier. If an exercise increases danger or distress, stop and seek appropriate support.</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4968"/>
        <w:gridCol w:w="4968"/>
      </w:tblGrid>
      <w:tr>
        <w:trPr>
          <w:tblHeader w:val="true"/>
          <w:cantSplit/>
        </w:trPr>
        <w:tc>
          <w:tcPr>
            <w:tcW w:type="dxa" w:w="4968"/>
            <w:shd w:fill="18324B"/>
            <w:vAlign w:val="center"/>
          </w:tcPr>
          <w:p>
            <w:r>
              <w:rPr>
                <w:b/>
                <w:color w:val="FFFFFF"/>
                <w:sz w:val="18"/>
              </w:rPr>
              <w:t>Part</w:t>
            </w:r>
          </w:p>
        </w:tc>
        <w:tc>
          <w:tcPr>
            <w:tcW w:type="dxa" w:w="4968"/>
            <w:shd w:fill="18324B"/>
            <w:vAlign w:val="center"/>
          </w:tcPr>
          <w:p>
            <w:r>
              <w:rPr>
                <w:b/>
                <w:color w:val="FFFFFF"/>
                <w:sz w:val="18"/>
              </w:rPr>
              <w:t>Question answered</w:t>
            </w:r>
          </w:p>
        </w:tc>
      </w:tr>
      <w:tr>
        <w:trPr>
          <w:cantSplit/>
        </w:trPr>
        <w:tc>
          <w:tcPr>
            <w:tcW w:type="dxa" w:w="4968"/>
            <w:vAlign w:val="center"/>
          </w:tcPr>
          <w:p>
            <w:pPr>
              <w:spacing w:after="60" w:before="60"/>
            </w:pPr>
            <w:r>
              <w:rPr>
                <w:sz w:val="18"/>
              </w:rPr>
              <w:t>I. The chaos cycle</w:t>
            </w:r>
          </w:p>
        </w:tc>
        <w:tc>
          <w:tcPr>
            <w:tcW w:type="dxa" w:w="4968"/>
            <w:vAlign w:val="center"/>
          </w:tcPr>
          <w:p>
            <w:pPr>
              <w:spacing w:after="60" w:before="60"/>
            </w:pPr>
            <w:r>
              <w:rPr>
                <w:sz w:val="18"/>
              </w:rPr>
              <w:t>What conditions make clear thinking and reliable coordination harder?</w:t>
            </w:r>
          </w:p>
        </w:tc>
      </w:tr>
      <w:tr>
        <w:trPr>
          <w:cantSplit/>
        </w:trPr>
        <w:tc>
          <w:tcPr>
            <w:tcW w:type="dxa" w:w="4968"/>
            <w:vAlign w:val="center"/>
            <w:shd w:fill="F3F6F8"/>
          </w:tcPr>
          <w:p>
            <w:pPr>
              <w:spacing w:after="60" w:before="60"/>
            </w:pPr>
            <w:r>
              <w:rPr>
                <w:sz w:val="18"/>
              </w:rPr>
              <w:t>II. People and networks</w:t>
            </w:r>
          </w:p>
        </w:tc>
        <w:tc>
          <w:tcPr>
            <w:tcW w:type="dxa" w:w="4968"/>
            <w:vAlign w:val="center"/>
            <w:shd w:fill="F3F6F8"/>
          </w:tcPr>
          <w:p>
            <w:pPr>
              <w:spacing w:after="60" w:before="60"/>
            </w:pPr>
            <w:r>
              <w:rPr>
                <w:sz w:val="18"/>
              </w:rPr>
              <w:t>How do information, roles, and decisions move through a group?</w:t>
            </w:r>
          </w:p>
        </w:tc>
      </w:tr>
      <w:tr>
        <w:trPr>
          <w:cantSplit/>
        </w:trPr>
        <w:tc>
          <w:tcPr>
            <w:tcW w:type="dxa" w:w="4968"/>
            <w:vAlign w:val="center"/>
          </w:tcPr>
          <w:p>
            <w:pPr>
              <w:spacing w:after="60" w:before="60"/>
            </w:pPr>
            <w:r>
              <w:rPr>
                <w:sz w:val="18"/>
              </w:rPr>
              <w:t>III. The anti-chaos method</w:t>
            </w:r>
          </w:p>
        </w:tc>
        <w:tc>
          <w:tcPr>
            <w:tcW w:type="dxa" w:w="4968"/>
            <w:vAlign w:val="center"/>
          </w:tcPr>
          <w:p>
            <w:pPr>
              <w:spacing w:after="60" w:before="60"/>
            </w:pPr>
            <w:r>
              <w:rPr>
                <w:sz w:val="18"/>
              </w:rPr>
              <w:t>What practical steps restore clarity, agency, and accountability?</w:t>
            </w:r>
          </w:p>
        </w:tc>
      </w:tr>
      <w:tr>
        <w:trPr>
          <w:cantSplit/>
        </w:trPr>
        <w:tc>
          <w:tcPr>
            <w:tcW w:type="dxa" w:w="4968"/>
            <w:vAlign w:val="center"/>
            <w:shd w:fill="F3F6F8"/>
          </w:tcPr>
          <w:p>
            <w:pPr>
              <w:spacing w:after="60" w:before="60"/>
            </w:pPr>
            <w:r>
              <w:rPr>
                <w:sz w:val="18"/>
              </w:rPr>
              <w:t>IV. Applying the method</w:t>
            </w:r>
          </w:p>
        </w:tc>
        <w:tc>
          <w:tcPr>
            <w:tcW w:type="dxa" w:w="4968"/>
            <w:vAlign w:val="center"/>
            <w:shd w:fill="F3F6F8"/>
          </w:tcPr>
          <w:p>
            <w:pPr>
              <w:spacing w:after="60" w:before="60"/>
            </w:pPr>
            <w:r>
              <w:rPr>
                <w:sz w:val="18"/>
              </w:rPr>
              <w:t>How does the method adapt to work, family, close ties, and civic settings?</w:t>
            </w:r>
          </w:p>
        </w:tc>
      </w:tr>
      <w:tr>
        <w:trPr>
          <w:cantSplit/>
        </w:trPr>
        <w:tc>
          <w:tcPr>
            <w:tcW w:type="dxa" w:w="4968"/>
            <w:vAlign w:val="center"/>
          </w:tcPr>
          <w:p>
            <w:pPr>
              <w:spacing w:after="60" w:before="60"/>
            </w:pPr>
            <w:r>
              <w:rPr>
                <w:sz w:val="18"/>
              </w:rPr>
              <w:t>V. Recovery and review</w:t>
            </w:r>
          </w:p>
        </w:tc>
        <w:tc>
          <w:tcPr>
            <w:tcW w:type="dxa" w:w="4968"/>
            <w:vAlign w:val="center"/>
          </w:tcPr>
          <w:p>
            <w:pPr>
              <w:spacing w:after="60" w:before="60"/>
            </w:pPr>
            <w:r>
              <w:rPr>
                <w:sz w:val="18"/>
              </w:rPr>
              <w:t>How do people learn from an incident and rebuild stability?</w:t>
            </w:r>
          </w:p>
        </w:tc>
      </w:tr>
    </w:tbl>
    <w:p>
      <w:pPr>
        <w:spacing w:after="40"/>
      </w:pPr>
    </w:p>
    <w:p>
      <w:pPr>
        <w:pStyle w:val="Heading1"/>
      </w:pPr>
      <w:r>
        <w:t>Part I  The chaos cycle</w:t>
      </w:r>
    </w:p>
    <w:p>
      <w:pPr>
        <w:pStyle w:val="Heading2"/>
      </w:pPr>
      <w:r>
        <w:t>1. Start with behavior, not a diagnosis</w:t>
      </w:r>
    </w:p>
    <w:p>
      <w:r>
        <w:t>People often reach for labels when an interaction feels confusing or threatening. A label can feel like an explanation, but it rarely supplies enough evidence to guide a safe decision. Terms such as narcissism, Machiavellianism, gaslighting, or coercive control have specific clinical, research, or legal meanings. Casual use can turn an observation into a verdict and can obscure what actually needs to change.</w:t>
      </w:r>
    </w:p>
    <w:p>
      <w:r>
        <w:t>A more reliable starting point is concrete: What was said or done? When? In what setting? What record supports it? What was the effect? What remains unknown? “The project requirement changed after the delivery was accepted” is more useful than “My manager is manipulative.” The first statement can be checked and addressed. The second asserts motive.</w:t>
      </w:r>
    </w:p>
    <w:p>
      <w:r>
        <w:t>Impact matters even when intent is uncertain. A person may set a boundary, request a written decision, or seek formal help because a repeated behavior is disruptive. They do not have to prove a psychological theory first.</w:t>
      </w:r>
    </w:p>
    <w:p>
      <w:pPr>
        <w:pStyle w:val="Heading2"/>
      </w:pPr>
      <w:r>
        <w:t>2. Conditions that create confusion</w:t>
      </w:r>
    </w:p>
    <w:p>
      <w:r>
        <w:t>Several common conditions can make a conflict feel chaotic: information is unevenly shared; agreements are vague; expectations shift; high emotion compresses decision time; feedback arrives through intermediaries; people receive different accounts; or the organization has no clear route for resolving disputes. Intentional manipulation is one possible explanation in some situations, but not the only one.</w:t>
      </w:r>
    </w:p>
    <w:p>
      <w:r>
        <w:t>Unpredictable warmth and withdrawal can make a relationship difficult to assess. A mismatch between stated rules and actual expectations can create exhaustion. Repeated denial of a documented event can undermine confidence. These are descriptions of impact and pattern; they do not, by themselves, establish a diagnosis or motive.</w:t>
      </w:r>
    </w:p>
    <w:p>
      <w:pPr>
        <w:pStyle w:val="Heading2"/>
      </w:pPr>
      <w:r>
        <w:t>3. A practical pattern vocabulary</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312"/>
        <w:gridCol w:w="3312"/>
        <w:gridCol w:w="3312"/>
      </w:tblGrid>
      <w:tr>
        <w:trPr>
          <w:tblHeader w:val="true"/>
          <w:cantSplit/>
        </w:trPr>
        <w:tc>
          <w:tcPr>
            <w:tcW w:type="dxa" w:w="3312"/>
            <w:shd w:fill="18324B"/>
            <w:vAlign w:val="center"/>
          </w:tcPr>
          <w:p>
            <w:r>
              <w:rPr>
                <w:b/>
                <w:color w:val="FFFFFF"/>
                <w:sz w:val="18"/>
              </w:rPr>
              <w:t>Observed pattern</w:t>
            </w:r>
          </w:p>
        </w:tc>
        <w:tc>
          <w:tcPr>
            <w:tcW w:type="dxa" w:w="3312"/>
            <w:shd w:fill="18324B"/>
            <w:vAlign w:val="center"/>
          </w:tcPr>
          <w:p>
            <w:r>
              <w:rPr>
                <w:b/>
                <w:color w:val="FFFFFF"/>
                <w:sz w:val="18"/>
              </w:rPr>
              <w:t>Neutral description</w:t>
            </w:r>
          </w:p>
        </w:tc>
        <w:tc>
          <w:tcPr>
            <w:tcW w:type="dxa" w:w="3312"/>
            <w:shd w:fill="18324B"/>
            <w:vAlign w:val="center"/>
          </w:tcPr>
          <w:p>
            <w:r>
              <w:rPr>
                <w:b/>
                <w:color w:val="FFFFFF"/>
                <w:sz w:val="18"/>
              </w:rPr>
              <w:t>Useful question</w:t>
            </w:r>
          </w:p>
        </w:tc>
      </w:tr>
      <w:tr>
        <w:trPr>
          <w:cantSplit/>
        </w:trPr>
        <w:tc>
          <w:tcPr>
            <w:tcW w:type="dxa" w:w="3312"/>
            <w:vAlign w:val="center"/>
          </w:tcPr>
          <w:p>
            <w:pPr>
              <w:spacing w:after="60" w:before="60"/>
            </w:pPr>
            <w:r>
              <w:rPr>
                <w:sz w:val="18"/>
              </w:rPr>
              <w:t>Changing requirements</w:t>
            </w:r>
          </w:p>
        </w:tc>
        <w:tc>
          <w:tcPr>
            <w:tcW w:type="dxa" w:w="3312"/>
            <w:vAlign w:val="center"/>
          </w:tcPr>
          <w:p>
            <w:pPr>
              <w:spacing w:after="60" w:before="60"/>
            </w:pPr>
            <w:r>
              <w:rPr>
                <w:sz w:val="18"/>
              </w:rPr>
              <w:t>A requirement changed after work began or after a milestone was met.</w:t>
            </w:r>
          </w:p>
        </w:tc>
        <w:tc>
          <w:tcPr>
            <w:tcW w:type="dxa" w:w="3312"/>
            <w:vAlign w:val="center"/>
          </w:tcPr>
          <w:p>
            <w:pPr>
              <w:spacing w:after="60" w:before="60"/>
            </w:pPr>
            <w:r>
              <w:rPr>
                <w:sz w:val="18"/>
              </w:rPr>
              <w:t>Where is the current scope recorded?</w:t>
            </w:r>
          </w:p>
        </w:tc>
      </w:tr>
      <w:tr>
        <w:trPr>
          <w:cantSplit/>
        </w:trPr>
        <w:tc>
          <w:tcPr>
            <w:tcW w:type="dxa" w:w="3312"/>
            <w:vAlign w:val="center"/>
            <w:shd w:fill="F3F6F8"/>
          </w:tcPr>
          <w:p>
            <w:pPr>
              <w:spacing w:after="60" w:before="60"/>
            </w:pPr>
            <w:r>
              <w:rPr>
                <w:sz w:val="18"/>
              </w:rPr>
              <w:t>Disputed recollection</w:t>
            </w:r>
          </w:p>
        </w:tc>
        <w:tc>
          <w:tcPr>
            <w:tcW w:type="dxa" w:w="3312"/>
            <w:vAlign w:val="center"/>
            <w:shd w:fill="F3F6F8"/>
          </w:tcPr>
          <w:p>
            <w:pPr>
              <w:spacing w:after="60" w:before="60"/>
            </w:pPr>
            <w:r>
              <w:rPr>
                <w:sz w:val="18"/>
              </w:rPr>
              <w:t>Two accounts of a conversation conflict.</w:t>
            </w:r>
          </w:p>
        </w:tc>
        <w:tc>
          <w:tcPr>
            <w:tcW w:type="dxa" w:w="3312"/>
            <w:vAlign w:val="center"/>
            <w:shd w:fill="F3F6F8"/>
          </w:tcPr>
          <w:p>
            <w:pPr>
              <w:spacing w:after="60" w:before="60"/>
            </w:pPr>
            <w:r>
              <w:rPr>
                <w:sz w:val="18"/>
              </w:rPr>
              <w:t>What contemporaneous record or neutral clarification exists?</w:t>
            </w:r>
          </w:p>
        </w:tc>
      </w:tr>
      <w:tr>
        <w:trPr>
          <w:cantSplit/>
        </w:trPr>
        <w:tc>
          <w:tcPr>
            <w:tcW w:type="dxa" w:w="3312"/>
            <w:vAlign w:val="center"/>
          </w:tcPr>
          <w:p>
            <w:pPr>
              <w:spacing w:after="60" w:before="60"/>
            </w:pPr>
            <w:r>
              <w:rPr>
                <w:sz w:val="18"/>
              </w:rPr>
              <w:t>Third-party pressure</w:t>
            </w:r>
          </w:p>
        </w:tc>
        <w:tc>
          <w:tcPr>
            <w:tcW w:type="dxa" w:w="3312"/>
            <w:vAlign w:val="center"/>
          </w:tcPr>
          <w:p>
            <w:pPr>
              <w:spacing w:after="60" w:before="60"/>
            </w:pPr>
            <w:r>
              <w:rPr>
                <w:sz w:val="18"/>
              </w:rPr>
              <w:t>Someone asks you to respond to another person’s grievance.</w:t>
            </w:r>
          </w:p>
        </w:tc>
        <w:tc>
          <w:tcPr>
            <w:tcW w:type="dxa" w:w="3312"/>
            <w:vAlign w:val="center"/>
          </w:tcPr>
          <w:p>
            <w:pPr>
              <w:spacing w:after="60" w:before="60"/>
            </w:pPr>
            <w:r>
              <w:rPr>
                <w:sz w:val="18"/>
              </w:rPr>
              <w:t>What is the appropriate direct or formal channel?</w:t>
            </w:r>
          </w:p>
        </w:tc>
      </w:tr>
      <w:tr>
        <w:trPr>
          <w:cantSplit/>
        </w:trPr>
        <w:tc>
          <w:tcPr>
            <w:tcW w:type="dxa" w:w="3312"/>
            <w:vAlign w:val="center"/>
            <w:shd w:fill="F3F6F8"/>
          </w:tcPr>
          <w:p>
            <w:pPr>
              <w:spacing w:after="60" w:before="60"/>
            </w:pPr>
            <w:r>
              <w:rPr>
                <w:sz w:val="18"/>
              </w:rPr>
              <w:t>Favor later treated as obligation</w:t>
            </w:r>
          </w:p>
        </w:tc>
        <w:tc>
          <w:tcPr>
            <w:tcW w:type="dxa" w:w="3312"/>
            <w:vAlign w:val="center"/>
            <w:shd w:fill="F3F6F8"/>
          </w:tcPr>
          <w:p>
            <w:pPr>
              <w:spacing w:after="60" w:before="60"/>
            </w:pPr>
            <w:r>
              <w:rPr>
                <w:sz w:val="18"/>
              </w:rPr>
              <w:t>A past favor is cited as a reason for a new demand.</w:t>
            </w:r>
          </w:p>
        </w:tc>
        <w:tc>
          <w:tcPr>
            <w:tcW w:type="dxa" w:w="3312"/>
            <w:vAlign w:val="center"/>
            <w:shd w:fill="F3F6F8"/>
          </w:tcPr>
          <w:p>
            <w:pPr>
              <w:spacing w:after="60" w:before="60"/>
            </w:pPr>
            <w:r>
              <w:rPr>
                <w:sz w:val="18"/>
              </w:rPr>
              <w:t>Was an obligation agreed at the time?</w:t>
            </w:r>
          </w:p>
        </w:tc>
      </w:tr>
      <w:tr>
        <w:trPr>
          <w:cantSplit/>
        </w:trPr>
        <w:tc>
          <w:tcPr>
            <w:tcW w:type="dxa" w:w="3312"/>
            <w:vAlign w:val="center"/>
          </w:tcPr>
          <w:p>
            <w:pPr>
              <w:spacing w:after="60" w:before="60"/>
            </w:pPr>
            <w:r>
              <w:rPr>
                <w:sz w:val="18"/>
              </w:rPr>
              <w:t>Blame shift</w:t>
            </w:r>
          </w:p>
        </w:tc>
        <w:tc>
          <w:tcPr>
            <w:tcW w:type="dxa" w:w="3312"/>
            <w:vAlign w:val="center"/>
          </w:tcPr>
          <w:p>
            <w:pPr>
              <w:spacing w:after="60" w:before="60"/>
            </w:pPr>
            <w:r>
              <w:rPr>
                <w:sz w:val="18"/>
              </w:rPr>
              <w:t>The discussion moves from the event to the person who raised it.</w:t>
            </w:r>
          </w:p>
        </w:tc>
        <w:tc>
          <w:tcPr>
            <w:tcW w:type="dxa" w:w="3312"/>
            <w:vAlign w:val="center"/>
          </w:tcPr>
          <w:p>
            <w:pPr>
              <w:spacing w:after="60" w:before="60"/>
            </w:pPr>
            <w:r>
              <w:rPr>
                <w:sz w:val="18"/>
              </w:rPr>
              <w:t>Can the group return to the specific decision or outcome?</w:t>
            </w:r>
          </w:p>
        </w:tc>
      </w:tr>
      <w:tr>
        <w:trPr>
          <w:cantSplit/>
        </w:trPr>
        <w:tc>
          <w:tcPr>
            <w:tcW w:type="dxa" w:w="3312"/>
            <w:vAlign w:val="center"/>
            <w:shd w:fill="F3F6F8"/>
          </w:tcPr>
          <w:p>
            <w:pPr>
              <w:spacing w:after="60" w:before="60"/>
            </w:pPr>
            <w:r>
              <w:rPr>
                <w:sz w:val="18"/>
              </w:rPr>
              <w:t>Urgency without detail</w:t>
            </w:r>
          </w:p>
        </w:tc>
        <w:tc>
          <w:tcPr>
            <w:tcW w:type="dxa" w:w="3312"/>
            <w:vAlign w:val="center"/>
            <w:shd w:fill="F3F6F8"/>
          </w:tcPr>
          <w:p>
            <w:pPr>
              <w:spacing w:after="60" w:before="60"/>
            </w:pPr>
            <w:r>
              <w:rPr>
                <w:sz w:val="18"/>
              </w:rPr>
              <w:t>A demand is labeled urgent without a clear task or deadline.</w:t>
            </w:r>
          </w:p>
        </w:tc>
        <w:tc>
          <w:tcPr>
            <w:tcW w:type="dxa" w:w="3312"/>
            <w:vAlign w:val="center"/>
            <w:shd w:fill="F3F6F8"/>
          </w:tcPr>
          <w:p>
            <w:pPr>
              <w:spacing w:after="60" w:before="60"/>
            </w:pPr>
            <w:r>
              <w:rPr>
                <w:sz w:val="18"/>
              </w:rPr>
              <w:t>What exactly must happen, by when, and what happens if it waits?</w:t>
            </w:r>
          </w:p>
        </w:tc>
      </w:tr>
    </w:tbl>
    <w:p>
      <w:pPr>
        <w:spacing w:after="40"/>
      </w:pPr>
    </w:p>
    <w:p>
      <w:pPr>
        <w:pStyle w:val="Heading1"/>
        <w:keepNext/>
      </w:pPr>
      <w:r>
        <w:t>Part II  People and networks</w:t>
      </w:r>
    </w:p>
    <w:p>
      <w:pPr>
        <w:keepLines/>
        <w:spacing w:before="43" w:after="144"/>
        <w:jc w:val="center"/>
      </w:pPr>
      <w:r>
        <w:drawing>
          <wp:inline xmlns:a="http://schemas.openxmlformats.org/drawingml/2006/main" xmlns:pic="http://schemas.openxmlformats.org/drawingml/2006/picture">
            <wp:extent cx="4114800" cy="2743200"/>
            <wp:docPr id="2" name="Picture 2" descr="A glowing atlas connects relevant roles, channels, and decisions across networks." title="Anti Chaos Network Map"/>
            <wp:cNvGraphicFramePr>
              <a:graphicFrameLocks noChangeAspect="1"/>
            </wp:cNvGraphicFramePr>
            <a:graphic>
              <a:graphicData uri="http://schemas.openxmlformats.org/drawingml/2006/picture">
                <pic:pic>
                  <pic:nvPicPr>
                    <pic:cNvPr id="0" name="anti-chaos-network-map.jpg"/>
                    <pic:cNvPicPr/>
                  </pic:nvPicPr>
                  <pic:blipFill>
                    <a:blip r:embed="rId11"/>
                    <a:stretch>
                      <a:fillRect/>
                    </a:stretch>
                  </pic:blipFill>
                  <pic:spPr>
                    <a:xfrm>
                      <a:off x="0" y="0"/>
                      <a:ext cx="4114800" cy="2743200"/>
                    </a:xfrm>
                    <a:prstGeom prst="rect"/>
                  </pic:spPr>
                </pic:pic>
              </a:graphicData>
            </a:graphic>
          </wp:inline>
        </w:drawing>
      </w:r>
    </w:p>
    <w:p>
      <w:pPr>
        <w:pStyle w:val="Heading2"/>
      </w:pPr>
      <w:r>
        <w:t>4. Map functions, not villains</w:t>
      </w:r>
    </w:p>
    <w:p>
      <w:r>
        <w:t>Groups influence how information travels. One person may make a decision, another may relay it, and a third may provide support or formal review. Those roles can be informal or temporary. A person who smooths over conflict may be trying to reduce discomfort; someone who forwards a complaint may believe they are helping. The same behavior can have different explanations.</w:t>
      </w:r>
    </w:p>
    <w:p>
      <w:r>
        <w:t>A useful map records roles, channels, decision points, and verified relationships relevant to one problem. It does not classify people as “operators,” “flying monkeys,” or “shields.” It marks what is known and what is uncertain. Timing or association alone does not prove coordination.</w:t>
      </w:r>
    </w:p>
    <w:p>
      <w:pPr>
        <w:pStyle w:val="ListBullet"/>
      </w:pPr>
      <w:r>
        <w:t>Who owns the decision or task?</w:t>
      </w:r>
    </w:p>
    <w:p>
      <w:pPr>
        <w:pStyle w:val="ListBullet"/>
      </w:pPr>
      <w:r>
        <w:t>What channel is authoritative for instructions or records?</w:t>
      </w:r>
    </w:p>
    <w:p>
      <w:pPr>
        <w:pStyle w:val="ListBullet"/>
      </w:pPr>
      <w:r>
        <w:t>Who is a neutral support, supervisor, representative, or safeguarding contact?</w:t>
      </w:r>
    </w:p>
    <w:p>
      <w:pPr>
        <w:pStyle w:val="ListBullet"/>
      </w:pPr>
      <w:r>
        <w:t>Where can information be distorted, delayed, or unnecessarily exposed?</w:t>
      </w:r>
    </w:p>
    <w:p>
      <w:pPr>
        <w:pStyle w:val="ListBullet"/>
      </w:pPr>
      <w:r>
        <w:t>Which people or details do not need to be included?</w:t>
      </w:r>
    </w:p>
    <w:p>
      <w:pPr>
        <w:pStyle w:val="Heading2"/>
      </w:pPr>
      <w:r>
        <w:t>5. Networks of networks</w:t>
      </w:r>
    </w:p>
    <w:p>
      <w:r>
        <w:t>In a workplace, family, community organization, or online group, several connected systems may overlap. A single issue can touch reporting lines, personal relationships, vendors, volunteers, or public communications. That does not mean every connected person shares a plan. It means the response should account for dependencies and protect information carefully.</w:t>
      </w:r>
    </w:p>
    <w:p>
      <w:r>
        <w:t>Look for system vulnerabilities: one person controls all approvals; decisions happen only verbally; the escalation route is unclear; a participant cannot access the same records as others; or there is no procedure to correct an inaccurate report. Fixing process weaknesses can reduce the opportunity for confusion regardless of who caused it.</w:t>
      </w:r>
    </w:p>
    <w:p>
      <w:pPr>
        <w:pStyle w:val="Heading2"/>
      </w:pPr>
      <w:r>
        <w:t>6. Keep records that can be trusted</w:t>
      </w:r>
    </w:p>
    <w:p>
      <w:r>
        <w:t>A useful record is brief, contemporaneous, and secure. Include date, time, setting, participants by role or initials, exact wording when reliably recalled, the action, the immediate result, and the source. Separate direct observation from another person’s report and from your own interpretation. Note uncertainty instead of filling gaps with assumptions.</w:t>
      </w:r>
    </w:p>
    <w:p>
      <w:r>
        <w:t>Preserve original messages and files lawfully. Do not secretly record where prohibited, access another person’s accounts, alter source records, or distribute allegations more broadly than needed. Decide who may see the record and when it should be reviewed or deleted. In formal processes, follow the applicable retention and reporting rules.</w:t>
      </w:r>
    </w:p>
    <w:p>
      <w:pPr>
        <w:pStyle w:val="Heading1"/>
        <w:keepNext/>
      </w:pPr>
      <w:r>
        <w:t>Part III  The anti-chaos method</w:t>
      </w:r>
    </w:p>
    <w:p>
      <w:pPr>
        <w:keepLines/>
        <w:spacing w:before="43" w:after="144"/>
        <w:jc w:val="center"/>
      </w:pPr>
      <w:r>
        <w:drawing>
          <wp:inline xmlns:a="http://schemas.openxmlformats.org/drawingml/2006/main" xmlns:pic="http://schemas.openxmlformats.org/drawingml/2006/picture">
            <wp:extent cx="4114800" cy="2743200"/>
            <wp:docPr id="3" name="Picture 3" descr="A field journal at dawn suggests a pause before the practice cycle begins." title="Anti Chaos Stabilize"/>
            <wp:cNvGraphicFramePr>
              <a:graphicFrameLocks noChangeAspect="1"/>
            </wp:cNvGraphicFramePr>
            <a:graphic>
              <a:graphicData uri="http://schemas.openxmlformats.org/drawingml/2006/picture">
                <pic:pic>
                  <pic:nvPicPr>
                    <pic:cNvPr id="0" name="anti-chaos-stabilize.jpg"/>
                    <pic:cNvPicPr/>
                  </pic:nvPicPr>
                  <pic:blipFill>
                    <a:blip r:embed="rId12"/>
                    <a:stretch>
                      <a:fillRect/>
                    </a:stretch>
                  </pic:blipFill>
                  <pic:spPr>
                    <a:xfrm>
                      <a:off x="0" y="0"/>
                      <a:ext cx="4114800" cy="2743200"/>
                    </a:xfrm>
                    <a:prstGeom prst="rect"/>
                  </pic:spPr>
                </pic:pic>
              </a:graphicData>
            </a:graphic>
          </wp:inline>
        </w:drawing>
      </w:r>
    </w:p>
    <w:p>
      <w:pPr>
        <w:pStyle w:val="Heading2"/>
      </w:pPr>
      <w:r>
        <w:t>7. The seven-step cycle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312"/>
        <w:gridCol w:w="3312"/>
        <w:gridCol w:w="3312"/>
      </w:tblGrid>
      <w:tr>
        <w:trPr>
          <w:tblHeader w:val="true"/>
          <w:cantSplit/>
        </w:trPr>
        <w:tc>
          <w:tcPr>
            <w:tcW w:type="dxa" w:w="3312"/>
            <w:shd w:fill="18324B"/>
            <w:vAlign w:val="center"/>
          </w:tcPr>
          <w:p>
            <w:r>
              <w:rPr>
                <w:b/>
                <w:color w:val="FFFFFF"/>
                <w:sz w:val="18"/>
              </w:rPr>
              <w:t>Step</w:t>
            </w:r>
          </w:p>
        </w:tc>
        <w:tc>
          <w:tcPr>
            <w:tcW w:type="dxa" w:w="3312"/>
            <w:shd w:fill="18324B"/>
            <w:vAlign w:val="center"/>
          </w:tcPr>
          <w:p>
            <w:r>
              <w:rPr>
                <w:b/>
                <w:color w:val="FFFFFF"/>
                <w:sz w:val="18"/>
              </w:rPr>
              <w:t>Action</w:t>
            </w:r>
          </w:p>
        </w:tc>
        <w:tc>
          <w:tcPr>
            <w:tcW w:type="dxa" w:w="3312"/>
            <w:shd w:fill="18324B"/>
            <w:vAlign w:val="center"/>
          </w:tcPr>
          <w:p>
            <w:r>
              <w:rPr>
                <w:b/>
                <w:color w:val="FFFFFF"/>
                <w:sz w:val="18"/>
              </w:rPr>
              <w:t>Practical output</w:t>
            </w:r>
          </w:p>
        </w:tc>
      </w:tr>
      <w:tr>
        <w:trPr>
          <w:cantSplit/>
        </w:trPr>
        <w:tc>
          <w:tcPr>
            <w:tcW w:type="dxa" w:w="3312"/>
            <w:vAlign w:val="center"/>
          </w:tcPr>
          <w:p>
            <w:pPr>
              <w:spacing w:after="60" w:before="60"/>
            </w:pPr>
            <w:r>
              <w:rPr>
                <w:sz w:val="18"/>
              </w:rPr>
              <w:t>1. Stabilize</w:t>
            </w:r>
          </w:p>
        </w:tc>
        <w:tc>
          <w:tcPr>
            <w:tcW w:type="dxa" w:w="3312"/>
            <w:vAlign w:val="center"/>
          </w:tcPr>
          <w:p>
            <w:pPr>
              <w:spacing w:after="60" w:before="60"/>
            </w:pPr>
            <w:r>
              <w:rPr>
                <w:sz w:val="18"/>
              </w:rPr>
              <w:t>Check immediate safety, essential needs, and support.</w:t>
            </w:r>
          </w:p>
        </w:tc>
        <w:tc>
          <w:tcPr>
            <w:tcW w:type="dxa" w:w="3312"/>
            <w:vAlign w:val="center"/>
          </w:tcPr>
          <w:p>
            <w:pPr>
              <w:spacing w:after="60" w:before="60"/>
            </w:pPr>
            <w:r>
              <w:rPr>
                <w:sz w:val="18"/>
              </w:rPr>
              <w:t>Triage note</w:t>
            </w:r>
          </w:p>
        </w:tc>
      </w:tr>
      <w:tr>
        <w:trPr>
          <w:cantSplit/>
        </w:trPr>
        <w:tc>
          <w:tcPr>
            <w:tcW w:type="dxa" w:w="3312"/>
            <w:vAlign w:val="center"/>
            <w:shd w:fill="F3F6F8"/>
          </w:tcPr>
          <w:p>
            <w:pPr>
              <w:spacing w:after="60" w:before="60"/>
            </w:pPr>
            <w:r>
              <w:rPr>
                <w:sz w:val="18"/>
              </w:rPr>
              <w:t>2. Observe</w:t>
            </w:r>
          </w:p>
        </w:tc>
        <w:tc>
          <w:tcPr>
            <w:tcW w:type="dxa" w:w="3312"/>
            <w:vAlign w:val="center"/>
            <w:shd w:fill="F3F6F8"/>
          </w:tcPr>
          <w:p>
            <w:pPr>
              <w:spacing w:after="60" w:before="60"/>
            </w:pPr>
            <w:r>
              <w:rPr>
                <w:sz w:val="18"/>
              </w:rPr>
              <w:t>Record events and sources without adding motive.</w:t>
            </w:r>
          </w:p>
        </w:tc>
        <w:tc>
          <w:tcPr>
            <w:tcW w:type="dxa" w:w="3312"/>
            <w:vAlign w:val="center"/>
            <w:shd w:fill="F3F6F8"/>
          </w:tcPr>
          <w:p>
            <w:pPr>
              <w:spacing w:after="60" w:before="60"/>
            </w:pPr>
            <w:r>
              <w:rPr>
                <w:sz w:val="18"/>
              </w:rPr>
              <w:t>Event log</w:t>
            </w:r>
          </w:p>
        </w:tc>
      </w:tr>
      <w:tr>
        <w:trPr>
          <w:cantSplit/>
        </w:trPr>
        <w:tc>
          <w:tcPr>
            <w:tcW w:type="dxa" w:w="3312"/>
            <w:vAlign w:val="center"/>
          </w:tcPr>
          <w:p>
            <w:pPr>
              <w:spacing w:after="60" w:before="60"/>
            </w:pPr>
            <w:r>
              <w:rPr>
                <w:sz w:val="18"/>
              </w:rPr>
              <w:t>3. Analyze</w:t>
            </w:r>
          </w:p>
        </w:tc>
        <w:tc>
          <w:tcPr>
            <w:tcW w:type="dxa" w:w="3312"/>
            <w:vAlign w:val="center"/>
          </w:tcPr>
          <w:p>
            <w:pPr>
              <w:spacing w:after="60" w:before="60"/>
            </w:pPr>
            <w:r>
              <w:rPr>
                <w:sz w:val="18"/>
              </w:rPr>
              <w:t>Look for repeated conduct, impact, alternatives, and gaps.</w:t>
            </w:r>
          </w:p>
        </w:tc>
        <w:tc>
          <w:tcPr>
            <w:tcW w:type="dxa" w:w="3312"/>
            <w:vAlign w:val="center"/>
          </w:tcPr>
          <w:p>
            <w:pPr>
              <w:spacing w:after="60" w:before="60"/>
            </w:pPr>
            <w:r>
              <w:rPr>
                <w:sz w:val="18"/>
              </w:rPr>
              <w:t>Pattern summary</w:t>
            </w:r>
          </w:p>
        </w:tc>
      </w:tr>
      <w:tr>
        <w:trPr>
          <w:cantSplit/>
        </w:trPr>
        <w:tc>
          <w:tcPr>
            <w:tcW w:type="dxa" w:w="3312"/>
            <w:vAlign w:val="center"/>
            <w:shd w:fill="F3F6F8"/>
          </w:tcPr>
          <w:p>
            <w:pPr>
              <w:spacing w:after="60" w:before="60"/>
            </w:pPr>
            <w:r>
              <w:rPr>
                <w:sz w:val="18"/>
              </w:rPr>
              <w:t>4. Map</w:t>
            </w:r>
          </w:p>
        </w:tc>
        <w:tc>
          <w:tcPr>
            <w:tcW w:type="dxa" w:w="3312"/>
            <w:vAlign w:val="center"/>
            <w:shd w:fill="F3F6F8"/>
          </w:tcPr>
          <w:p>
            <w:pPr>
              <w:spacing w:after="60" w:before="60"/>
            </w:pPr>
            <w:r>
              <w:rPr>
                <w:sz w:val="18"/>
              </w:rPr>
              <w:t>Trace relevant roles, channels, and decision points.</w:t>
            </w:r>
          </w:p>
        </w:tc>
        <w:tc>
          <w:tcPr>
            <w:tcW w:type="dxa" w:w="3312"/>
            <w:vAlign w:val="center"/>
            <w:shd w:fill="F3F6F8"/>
          </w:tcPr>
          <w:p>
            <w:pPr>
              <w:spacing w:after="60" w:before="60"/>
            </w:pPr>
            <w:r>
              <w:rPr>
                <w:sz w:val="18"/>
              </w:rPr>
              <w:t>Minimal system map</w:t>
            </w:r>
          </w:p>
        </w:tc>
      </w:tr>
      <w:tr>
        <w:trPr>
          <w:cantSplit/>
        </w:trPr>
        <w:tc>
          <w:tcPr>
            <w:tcW w:type="dxa" w:w="3312"/>
            <w:vAlign w:val="center"/>
          </w:tcPr>
          <w:p>
            <w:pPr>
              <w:spacing w:after="60" w:before="60"/>
            </w:pPr>
            <w:r>
              <w:rPr>
                <w:sz w:val="18"/>
              </w:rPr>
              <w:t>5. Choose</w:t>
            </w:r>
          </w:p>
        </w:tc>
        <w:tc>
          <w:tcPr>
            <w:tcW w:type="dxa" w:w="3312"/>
            <w:vAlign w:val="center"/>
          </w:tcPr>
          <w:p>
            <w:pPr>
              <w:spacing w:after="60" w:before="60"/>
            </w:pPr>
            <w:r>
              <w:rPr>
                <w:sz w:val="18"/>
              </w:rPr>
              <w:t>Select a lawful, proportionate action that protects the needed outcome.</w:t>
            </w:r>
          </w:p>
        </w:tc>
        <w:tc>
          <w:tcPr>
            <w:tcW w:type="dxa" w:w="3312"/>
            <w:vAlign w:val="center"/>
          </w:tcPr>
          <w:p>
            <w:pPr>
              <w:spacing w:after="60" w:before="60"/>
            </w:pPr>
            <w:r>
              <w:rPr>
                <w:sz w:val="18"/>
              </w:rPr>
              <w:t>Decision and owner</w:t>
            </w:r>
          </w:p>
        </w:tc>
      </w:tr>
      <w:tr>
        <w:trPr>
          <w:cantSplit/>
        </w:trPr>
        <w:tc>
          <w:tcPr>
            <w:tcW w:type="dxa" w:w="3312"/>
            <w:vAlign w:val="center"/>
            <w:shd w:fill="F3F6F8"/>
          </w:tcPr>
          <w:p>
            <w:pPr>
              <w:spacing w:after="60" w:before="60"/>
            </w:pPr>
            <w:r>
              <w:rPr>
                <w:sz w:val="18"/>
              </w:rPr>
              <w:t>6. Communicate</w:t>
            </w:r>
          </w:p>
        </w:tc>
        <w:tc>
          <w:tcPr>
            <w:tcW w:type="dxa" w:w="3312"/>
            <w:vAlign w:val="center"/>
            <w:shd w:fill="F3F6F8"/>
          </w:tcPr>
          <w:p>
            <w:pPr>
              <w:spacing w:after="60" w:before="60"/>
            </w:pPr>
            <w:r>
              <w:rPr>
                <w:sz w:val="18"/>
              </w:rPr>
              <w:t>State a request or boundary clearly and preserve necessary logistics.</w:t>
            </w:r>
          </w:p>
        </w:tc>
        <w:tc>
          <w:tcPr>
            <w:tcW w:type="dxa" w:w="3312"/>
            <w:vAlign w:val="center"/>
            <w:shd w:fill="F3F6F8"/>
          </w:tcPr>
          <w:p>
            <w:pPr>
              <w:spacing w:after="60" w:before="60"/>
            </w:pPr>
            <w:r>
              <w:rPr>
                <w:sz w:val="18"/>
              </w:rPr>
              <w:t>Message or meeting plan</w:t>
            </w:r>
          </w:p>
        </w:tc>
      </w:tr>
      <w:tr>
        <w:trPr>
          <w:cantSplit/>
        </w:trPr>
        <w:tc>
          <w:tcPr>
            <w:tcW w:type="dxa" w:w="3312"/>
            <w:vAlign w:val="center"/>
          </w:tcPr>
          <w:p>
            <w:pPr>
              <w:spacing w:after="60" w:before="60"/>
            </w:pPr>
            <w:r>
              <w:rPr>
                <w:sz w:val="18"/>
              </w:rPr>
              <w:t>7. Review</w:t>
            </w:r>
          </w:p>
        </w:tc>
        <w:tc>
          <w:tcPr>
            <w:tcW w:type="dxa" w:w="3312"/>
            <w:vAlign w:val="center"/>
          </w:tcPr>
          <w:p>
            <w:pPr>
              <w:spacing w:after="60" w:before="60"/>
            </w:pPr>
            <w:r>
              <w:rPr>
                <w:sz w:val="18"/>
              </w:rPr>
              <w:t>Measure effect, check for harm, and adapt.</w:t>
            </w:r>
          </w:p>
        </w:tc>
        <w:tc>
          <w:tcPr>
            <w:tcW w:type="dxa" w:w="3312"/>
            <w:vAlign w:val="center"/>
          </w:tcPr>
          <w:p>
            <w:pPr>
              <w:spacing w:after="60" w:before="60"/>
            </w:pPr>
            <w:r>
              <w:rPr>
                <w:sz w:val="18"/>
              </w:rPr>
              <w:t>After-action review</w:t>
            </w:r>
          </w:p>
        </w:tc>
      </w:tr>
    </w:tbl>
    <w:p>
      <w:pPr>
        <w:spacing w:after="40"/>
      </w:pPr>
    </w:p>
    <w:p>
      <w:r>
        <w:t>The cycle is not a rigid sequence. A safety concern may require immediate referral or emergency response. A routine misunderstanding may be resolved with a short clarification. Do not delay protective action to complete a worksheet.</w:t>
      </w:r>
    </w:p>
    <w:p>
      <w:pPr>
        <w:pStyle w:val="Heading2"/>
        <w:keepNext/>
      </w:pPr>
      <w:r>
        <w:t>8. Boundaries and communication</w:t>
      </w:r>
    </w:p>
    <w:p>
      <w:pPr>
        <w:keepLines/>
        <w:spacing w:before="43" w:after="144"/>
        <w:jc w:val="center"/>
      </w:pPr>
      <w:r>
        <w:drawing>
          <wp:inline xmlns:a="http://schemas.openxmlformats.org/drawingml/2006/main" xmlns:pic="http://schemas.openxmlformats.org/drawingml/2006/picture">
            <wp:extent cx="4114800" cy="2743200"/>
            <wp:docPr id="4" name="Picture 4" descr="A handwritten message and brass scale represent clear boundaries and workable requests." title="Anti Chaos Communication"/>
            <wp:cNvGraphicFramePr>
              <a:graphicFrameLocks noChangeAspect="1"/>
            </wp:cNvGraphicFramePr>
            <a:graphic>
              <a:graphicData uri="http://schemas.openxmlformats.org/drawingml/2006/picture">
                <pic:pic>
                  <pic:nvPicPr>
                    <pic:cNvPr id="0" name="anti-chaos-communication.jpg"/>
                    <pic:cNvPicPr/>
                  </pic:nvPicPr>
                  <pic:blipFill>
                    <a:blip r:embed="rId13"/>
                    <a:stretch>
                      <a:fillRect/>
                    </a:stretch>
                  </pic:blipFill>
                  <pic:spPr>
                    <a:xfrm>
                      <a:off x="0" y="0"/>
                      <a:ext cx="4114800" cy="2743200"/>
                    </a:xfrm>
                    <a:prstGeom prst="rect"/>
                  </pic:spPr>
                </pic:pic>
              </a:graphicData>
            </a:graphic>
          </wp:inline>
        </w:drawing>
      </w:r>
    </w:p>
    <w:p>
      <w:r>
        <w:t>A boundary describes what you will do or accept. It is strongest when it is clear, enforceable by you, and connected to a practical next step. It does not require a long explanation or a claim about the other person’s character.</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4968"/>
        <w:gridCol w:w="4968"/>
      </w:tblGrid>
      <w:tr>
        <w:trPr>
          <w:tblHeader w:val="true"/>
          <w:cantSplit/>
        </w:trPr>
        <w:tc>
          <w:tcPr>
            <w:tcW w:type="dxa" w:w="4968"/>
            <w:shd w:fill="18324B"/>
            <w:vAlign w:val="center"/>
          </w:tcPr>
          <w:p>
            <w:r>
              <w:rPr>
                <w:b/>
                <w:color w:val="FFFFFF"/>
                <w:sz w:val="18"/>
              </w:rPr>
              <w:t>Purpose</w:t>
            </w:r>
          </w:p>
        </w:tc>
        <w:tc>
          <w:tcPr>
            <w:tcW w:type="dxa" w:w="4968"/>
            <w:shd w:fill="18324B"/>
            <w:vAlign w:val="center"/>
          </w:tcPr>
          <w:p>
            <w:r>
              <w:rPr>
                <w:b/>
                <w:color w:val="FFFFFF"/>
                <w:sz w:val="18"/>
              </w:rPr>
              <w:t>Example</w:t>
            </w:r>
          </w:p>
        </w:tc>
      </w:tr>
      <w:tr>
        <w:trPr>
          <w:cantSplit/>
        </w:trPr>
        <w:tc>
          <w:tcPr>
            <w:tcW w:type="dxa" w:w="4968"/>
            <w:vAlign w:val="center"/>
          </w:tcPr>
          <w:p>
            <w:pPr>
              <w:spacing w:after="60" w:before="60"/>
            </w:pPr>
            <w:r>
              <w:rPr>
                <w:sz w:val="18"/>
              </w:rPr>
              <w:t>Clarify a decision</w:t>
            </w:r>
          </w:p>
        </w:tc>
        <w:tc>
          <w:tcPr>
            <w:tcW w:type="dxa" w:w="4968"/>
            <w:vAlign w:val="center"/>
          </w:tcPr>
          <w:p>
            <w:pPr>
              <w:spacing w:after="60" w:before="60"/>
            </w:pPr>
            <w:r>
              <w:rPr>
                <w:sz w:val="18"/>
              </w:rPr>
              <w:t>“I have the April 3 scope note. Please send any change in writing.”</w:t>
            </w:r>
          </w:p>
        </w:tc>
      </w:tr>
      <w:tr>
        <w:trPr>
          <w:cantSplit/>
        </w:trPr>
        <w:tc>
          <w:tcPr>
            <w:tcW w:type="dxa" w:w="4968"/>
            <w:vAlign w:val="center"/>
            <w:shd w:fill="F3F6F8"/>
          </w:tcPr>
          <w:p>
            <w:pPr>
              <w:spacing w:after="60" w:before="60"/>
            </w:pPr>
            <w:r>
              <w:rPr>
                <w:sz w:val="18"/>
              </w:rPr>
              <w:t>Set a limit</w:t>
            </w:r>
          </w:p>
        </w:tc>
        <w:tc>
          <w:tcPr>
            <w:tcW w:type="dxa" w:w="4968"/>
            <w:vAlign w:val="center"/>
            <w:shd w:fill="F3F6F8"/>
          </w:tcPr>
          <w:p>
            <w:pPr>
              <w:spacing w:after="60" w:before="60"/>
            </w:pPr>
            <w:r>
              <w:rPr>
                <w:sz w:val="18"/>
              </w:rPr>
              <w:t>“I can discuss the schedule. I will end the call if we return to personal insults.”</w:t>
            </w:r>
          </w:p>
        </w:tc>
      </w:tr>
      <w:tr>
        <w:trPr>
          <w:cantSplit/>
        </w:trPr>
        <w:tc>
          <w:tcPr>
            <w:tcW w:type="dxa" w:w="4968"/>
            <w:vAlign w:val="center"/>
          </w:tcPr>
          <w:p>
            <w:pPr>
              <w:spacing w:after="60" w:before="60"/>
            </w:pPr>
            <w:r>
              <w:rPr>
                <w:sz w:val="18"/>
              </w:rPr>
              <w:t>Route a concern</w:t>
            </w:r>
          </w:p>
        </w:tc>
        <w:tc>
          <w:tcPr>
            <w:tcW w:type="dxa" w:w="4968"/>
            <w:vAlign w:val="center"/>
          </w:tcPr>
          <w:p>
            <w:pPr>
              <w:spacing w:after="60" w:before="60"/>
            </w:pPr>
            <w:r>
              <w:rPr>
                <w:sz w:val="18"/>
              </w:rPr>
              <w:t>“Please send the specific issue to me directly or use the review process.”</w:t>
            </w:r>
          </w:p>
        </w:tc>
      </w:tr>
      <w:tr>
        <w:trPr>
          <w:cantSplit/>
        </w:trPr>
        <w:tc>
          <w:tcPr>
            <w:tcW w:type="dxa" w:w="4968"/>
            <w:vAlign w:val="center"/>
            <w:shd w:fill="F3F6F8"/>
          </w:tcPr>
          <w:p>
            <w:pPr>
              <w:spacing w:after="60" w:before="60"/>
            </w:pPr>
            <w:r>
              <w:rPr>
                <w:sz w:val="18"/>
              </w:rPr>
              <w:t>Preserve logistics</w:t>
            </w:r>
          </w:p>
        </w:tc>
        <w:tc>
          <w:tcPr>
            <w:tcW w:type="dxa" w:w="4968"/>
            <w:vAlign w:val="center"/>
            <w:shd w:fill="F3F6F8"/>
          </w:tcPr>
          <w:p>
            <w:pPr>
              <w:spacing w:after="60" w:before="60"/>
            </w:pPr>
            <w:r>
              <w:rPr>
                <w:sz w:val="18"/>
              </w:rPr>
              <w:t>“For care arrangements, text me the date and time. I will respond by 6 p.m.”</w:t>
            </w:r>
          </w:p>
        </w:tc>
      </w:tr>
      <w:tr>
        <w:trPr>
          <w:cantSplit/>
        </w:trPr>
        <w:tc>
          <w:tcPr>
            <w:tcW w:type="dxa" w:w="4968"/>
            <w:vAlign w:val="center"/>
          </w:tcPr>
          <w:p>
            <w:pPr>
              <w:spacing w:after="60" w:before="60"/>
            </w:pPr>
            <w:r>
              <w:rPr>
                <w:sz w:val="18"/>
              </w:rPr>
              <w:t>Pause safely</w:t>
            </w:r>
          </w:p>
        </w:tc>
        <w:tc>
          <w:tcPr>
            <w:tcW w:type="dxa" w:w="4968"/>
            <w:vAlign w:val="center"/>
          </w:tcPr>
          <w:p>
            <w:pPr>
              <w:spacing w:after="60" w:before="60"/>
            </w:pPr>
            <w:r>
              <w:rPr>
                <w:sz w:val="18"/>
              </w:rPr>
              <w:t>“I need time to review this. I will reply tomorrow through the project channel.”</w:t>
            </w:r>
          </w:p>
        </w:tc>
      </w:tr>
    </w:tbl>
    <w:p>
      <w:pPr>
        <w:spacing w:after="40"/>
      </w:pPr>
    </w:p>
    <w:p>
      <w:r>
        <w:t>Brief communication can reduce openings for a side argument, but brevity is not a universal rule. A formal response may need detail, context, or representation. Keep communication truthful, respectful, and suited to the stakes.</w:t>
      </w:r>
    </w:p>
    <w:p>
      <w:pPr>
        <w:pStyle w:val="Heading2"/>
      </w:pPr>
      <w:r>
        <w:t>9. Support and escalation</w:t>
      </w:r>
    </w:p>
    <w:p>
      <w:r>
        <w:t>Choose a route that matches the setting and risk. Options include a trusted person outside the conflict, a supervisor, HR or an ombuds office, a union or employee representative, a clinician, a lawyer, a domestic-violence or stalking advocate, an IT/security professional, or a safeguarding lead. Explain what is known, what is uncertain, and what help you need.</w:t>
      </w:r>
    </w:p>
    <w:p>
      <w:r>
        <w:t>When there is immediate danger, a credible threat, unwanted tracking, abuse, or a vulnerable person at risk, prioritize qualified local assistance. Do not confront a potentially dangerous person alone. Do not follow advice to cut off every contact when safety, children, care, work, or legal obligations require a reliable channel. A specialist can help tailor a safe plan.</w:t>
      </w:r>
    </w:p>
    <w:p>
      <w:pPr>
        <w:pStyle w:val="Heading2"/>
      </w:pPr>
      <w:r>
        <w:t>10. Digital and information boundaries</w:t>
      </w:r>
    </w:p>
    <w:p>
      <w:r>
        <w:t>Use ordinary, authorized security measures: unique passwords, a password manager, multifactor authentication, software updates, account-session review, and provider support for suspicious access. Preserve relevant alerts and message headers. Avoid counter-surveillance, unauthorized access, deceptive “canary” tests, or collecting another person’s private information.</w:t>
      </w:r>
    </w:p>
    <w:p>
      <w:r>
        <w:t>Share only what a recipient needs. For sensitive decisions, use approved channels and confirm who can access them. If you suspect an account compromise, secure your own accounts from a trusted device and consult the provider or a qualified security professional.</w:t>
      </w:r>
    </w:p>
    <w:p>
      <w:pPr>
        <w:pStyle w:val="Heading1"/>
      </w:pPr>
      <w:r>
        <w:t>Part IV  Applying the method</w:t>
      </w:r>
    </w:p>
    <w:p>
      <w:pPr>
        <w:pStyle w:val="Heading2"/>
      </w:pPr>
      <w:r>
        <w:t>11. Workplace and professional settings</w:t>
      </w:r>
    </w:p>
    <w:p>
      <w:r>
        <w:t>At work, keep the record tied to tasks, dates, decisions, policies, and impact. Ask for written scope, deadlines, decision ownership, and a neutral review route. Follow reporting policy, preserve relevant records, and avoid broad circulation. If retaliation, discrimination, harassment, or safety issues may be involved, seek the appropriate professional or formal channel rather than attempting to investigate alone.</w:t>
      </w:r>
    </w:p>
    <w:p>
      <w:r>
        <w:t>When considering a transfer or exit, plan around finances, references, essential benefits, records, and safety. Do not assume a legal claim is established from a single account. Qualified counsel or an appropriate representative can assess facts and deadlines.</w:t>
      </w:r>
    </w:p>
    <w:p>
      <w:pPr>
        <w:pStyle w:val="Heading2"/>
      </w:pPr>
      <w:r>
        <w:t>12. Family and close relationships</w:t>
      </w:r>
    </w:p>
    <w:p>
      <w:r>
        <w:t>Family systems can combine emotional history with practical dependencies such as caregiving, housing, money, or children. Separate emotional discussion from necessary logistics when that helps. Use predictable channels and agreements. For children or vulnerable adults, follow safeguarding duties and seek qualified guidance. If coercion or violence may be present, consult a specialist before changing contact patterns or announcing an exit plan.</w:t>
      </w:r>
    </w:p>
    <w:p>
      <w:r>
        <w:t>In close relationships, do not use clinical labels as weapons. Describe the behavior and its impact. Seek support that respects your choices and does not pressure you to disclose more than you want. A boundary can be temporary and specific; a safety plan should be tailored to the real circumstances.</w:t>
      </w:r>
    </w:p>
    <w:p>
      <w:pPr>
        <w:pStyle w:val="Heading2"/>
      </w:pPr>
      <w:r>
        <w:t>13. Civic, community, and online groups</w:t>
      </w:r>
    </w:p>
    <w:p>
      <w:r>
        <w:t>Boards, congregations, volunteer groups, and online communities benefit from transparent roles and consistent procedures. Publish decision criteria, record approvals, disclose conflicts of interest, and provide a correction or appeal pathway. Apply rules consistently. When a dispute concerns public claims, distinguish verified facts, allegations, and opinion.</w:t>
      </w:r>
    </w:p>
    <w:p>
      <w:pPr>
        <w:pStyle w:val="Heading1"/>
      </w:pPr>
      <w:r>
        <w:t>Part V  Recovery and review</w:t>
      </w:r>
    </w:p>
    <w:p>
      <w:pPr>
        <w:pStyle w:val="Heading2"/>
      </w:pPr>
      <w:r>
        <w:t>14. After an incident</w:t>
      </w:r>
    </w:p>
    <w:p>
      <w:r>
        <w:t>A difficult interaction can leave people tired, vigilant, or uncertain. A post-action review is not a trial of your character. Ask what the plan aimed to change, what occurred, what the evidence shows, what helped, what worsened, and what needs to change. Include support and recovery, not only operational lessons.</w:t>
      </w:r>
    </w:p>
    <w:p>
      <w:pPr>
        <w:ind w:left="317" w:hanging="317"/>
      </w:pPr>
      <w:r>
        <w:rPr>
          <w:b/>
        </w:rPr>
        <w:t xml:space="preserve">1. </w:t>
      </w:r>
      <w:r>
        <w:t>Pause and attend to immediate physical and emotional needs.</w:t>
      </w:r>
    </w:p>
    <w:p>
      <w:pPr>
        <w:ind w:left="317" w:hanging="317"/>
      </w:pPr>
      <w:r>
        <w:rPr>
          <w:b/>
        </w:rPr>
        <w:t xml:space="preserve">2. </w:t>
      </w:r>
      <w:r>
        <w:t>Review the record when ready; correct errors and label uncertainty.</w:t>
      </w:r>
    </w:p>
    <w:p>
      <w:pPr>
        <w:ind w:left="317" w:hanging="317"/>
      </w:pPr>
      <w:r>
        <w:rPr>
          <w:b/>
        </w:rPr>
        <w:t xml:space="preserve">3. </w:t>
      </w:r>
      <w:r>
        <w:t>Identify one practical lesson about the process or support system.</w:t>
      </w:r>
    </w:p>
    <w:p>
      <w:pPr>
        <w:ind w:left="317" w:hanging="317"/>
      </w:pPr>
      <w:r>
        <w:rPr>
          <w:b/>
        </w:rPr>
        <w:t xml:space="preserve">4. </w:t>
      </w:r>
      <w:r>
        <w:t>Decide what to continue, stop, or change.</w:t>
      </w:r>
    </w:p>
    <w:p>
      <w:pPr>
        <w:ind w:left="317" w:hanging="317"/>
      </w:pPr>
      <w:r>
        <w:rPr>
          <w:b/>
        </w:rPr>
        <w:t xml:space="preserve">5. </w:t>
      </w:r>
      <w:r>
        <w:t>Set a review date and seek professional help when distress or risk persists.</w:t>
      </w:r>
    </w:p>
    <w:p>
      <w:pPr>
        <w:pStyle w:val="Heading2"/>
      </w:pPr>
      <w:r>
        <w:t>15. What good practice looks like</w:t>
      </w:r>
    </w:p>
    <w:p>
      <w:r>
        <w:t>A strong practitioner is not the person who can name the most tactics or predict another person’s motive. It is the person who can keep evidence clean, protect agency, notice risk, communicate clearly, use fair processes, and revise a conclusion when new information arrives. The goal is not to defeat an imagined opponent. The goal is a safer, more reliable environment where people can make decisions without manufactured confusion.</w:t>
      </w:r>
    </w:p>
    <w:p>
      <w:pPr>
        <w:pStyle w:val="Heading1"/>
      </w:pPr>
      <w:r>
        <w:t>Quick reference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4968"/>
        <w:gridCol w:w="4968"/>
      </w:tblGrid>
      <w:tr>
        <w:trPr>
          <w:tblHeader w:val="true"/>
          <w:cantSplit/>
        </w:trPr>
        <w:tc>
          <w:tcPr>
            <w:tcW w:type="dxa" w:w="4968"/>
            <w:shd w:fill="18324B"/>
            <w:vAlign w:val="center"/>
          </w:tcPr>
          <w:p>
            <w:r>
              <w:rPr>
                <w:b/>
                <w:color w:val="FFFFFF"/>
                <w:sz w:val="18"/>
              </w:rPr>
              <w:t>Ask</w:t>
            </w:r>
          </w:p>
        </w:tc>
        <w:tc>
          <w:tcPr>
            <w:tcW w:type="dxa" w:w="4968"/>
            <w:shd w:fill="18324B"/>
            <w:vAlign w:val="center"/>
          </w:tcPr>
          <w:p>
            <w:r>
              <w:rPr>
                <w:b/>
                <w:color w:val="FFFFFF"/>
                <w:sz w:val="18"/>
              </w:rPr>
              <w:t>Then do</w:t>
            </w:r>
          </w:p>
        </w:tc>
      </w:tr>
      <w:tr>
        <w:trPr>
          <w:cantSplit/>
        </w:trPr>
        <w:tc>
          <w:tcPr>
            <w:tcW w:type="dxa" w:w="4968"/>
            <w:vAlign w:val="center"/>
          </w:tcPr>
          <w:p>
            <w:pPr>
              <w:spacing w:after="60" w:before="60"/>
            </w:pPr>
            <w:r>
              <w:rPr>
                <w:sz w:val="18"/>
              </w:rPr>
              <w:t>Is anyone in immediate danger?</w:t>
            </w:r>
          </w:p>
        </w:tc>
        <w:tc>
          <w:tcPr>
            <w:tcW w:type="dxa" w:w="4968"/>
            <w:vAlign w:val="center"/>
          </w:tcPr>
          <w:p>
            <w:pPr>
              <w:spacing w:after="60" w:before="60"/>
            </w:pPr>
            <w:r>
              <w:rPr>
                <w:sz w:val="18"/>
              </w:rPr>
              <w:t>Use the appropriate emergency, safeguarding, or specialist path.</w:t>
            </w:r>
          </w:p>
        </w:tc>
      </w:tr>
      <w:tr>
        <w:trPr>
          <w:cantSplit/>
        </w:trPr>
        <w:tc>
          <w:tcPr>
            <w:tcW w:type="dxa" w:w="4968"/>
            <w:vAlign w:val="center"/>
            <w:shd w:fill="F3F6F8"/>
          </w:tcPr>
          <w:p>
            <w:pPr>
              <w:spacing w:after="60" w:before="60"/>
            </w:pPr>
            <w:r>
              <w:rPr>
                <w:sz w:val="18"/>
              </w:rPr>
              <w:t>What do I know firsthand?</w:t>
            </w:r>
          </w:p>
        </w:tc>
        <w:tc>
          <w:tcPr>
            <w:tcW w:type="dxa" w:w="4968"/>
            <w:vAlign w:val="center"/>
            <w:shd w:fill="F3F6F8"/>
          </w:tcPr>
          <w:p>
            <w:pPr>
              <w:spacing w:after="60" w:before="60"/>
            </w:pPr>
            <w:r>
              <w:rPr>
                <w:sz w:val="18"/>
              </w:rPr>
              <w:t>Record the event, source, context, and uncertainty.</w:t>
            </w:r>
          </w:p>
        </w:tc>
      </w:tr>
      <w:tr>
        <w:trPr>
          <w:cantSplit/>
        </w:trPr>
        <w:tc>
          <w:tcPr>
            <w:tcW w:type="dxa" w:w="4968"/>
            <w:vAlign w:val="center"/>
          </w:tcPr>
          <w:p>
            <w:pPr>
              <w:spacing w:after="60" w:before="60"/>
            </w:pPr>
            <w:r>
              <w:rPr>
                <w:sz w:val="18"/>
              </w:rPr>
              <w:t>What else could explain this?</w:t>
            </w:r>
          </w:p>
        </w:tc>
        <w:tc>
          <w:tcPr>
            <w:tcW w:type="dxa" w:w="4968"/>
            <w:vAlign w:val="center"/>
          </w:tcPr>
          <w:p>
            <w:pPr>
              <w:spacing w:after="60" w:before="60"/>
            </w:pPr>
            <w:r>
              <w:rPr>
                <w:sz w:val="18"/>
              </w:rPr>
              <w:t>Test alternatives and avoid premature conclusions.</w:t>
            </w:r>
          </w:p>
        </w:tc>
      </w:tr>
      <w:tr>
        <w:trPr>
          <w:cantSplit/>
        </w:trPr>
        <w:tc>
          <w:tcPr>
            <w:tcW w:type="dxa" w:w="4968"/>
            <w:vAlign w:val="center"/>
            <w:shd w:fill="F3F6F8"/>
          </w:tcPr>
          <w:p>
            <w:pPr>
              <w:spacing w:after="60" w:before="60"/>
            </w:pPr>
            <w:r>
              <w:rPr>
                <w:sz w:val="18"/>
              </w:rPr>
              <w:t>What outcome needs protection?</w:t>
            </w:r>
          </w:p>
        </w:tc>
        <w:tc>
          <w:tcPr>
            <w:tcW w:type="dxa" w:w="4968"/>
            <w:vAlign w:val="center"/>
            <w:shd w:fill="F3F6F8"/>
          </w:tcPr>
          <w:p>
            <w:pPr>
              <w:spacing w:after="60" w:before="60"/>
            </w:pPr>
            <w:r>
              <w:rPr>
                <w:sz w:val="18"/>
              </w:rPr>
              <w:t>Choose a bounded, proportionate action.</w:t>
            </w:r>
          </w:p>
        </w:tc>
      </w:tr>
      <w:tr>
        <w:trPr>
          <w:cantSplit/>
        </w:trPr>
        <w:tc>
          <w:tcPr>
            <w:tcW w:type="dxa" w:w="4968"/>
            <w:vAlign w:val="center"/>
          </w:tcPr>
          <w:p>
            <w:pPr>
              <w:spacing w:after="60" w:before="60"/>
            </w:pPr>
            <w:r>
              <w:rPr>
                <w:sz w:val="18"/>
              </w:rPr>
              <w:t>Who needs to know?</w:t>
            </w:r>
          </w:p>
        </w:tc>
        <w:tc>
          <w:tcPr>
            <w:tcW w:type="dxa" w:w="4968"/>
            <w:vAlign w:val="center"/>
          </w:tcPr>
          <w:p>
            <w:pPr>
              <w:spacing w:after="60" w:before="60"/>
            </w:pPr>
            <w:r>
              <w:rPr>
                <w:sz w:val="18"/>
              </w:rPr>
              <w:t>Share the minimum necessary through the right channel.</w:t>
            </w:r>
          </w:p>
        </w:tc>
      </w:tr>
      <w:tr>
        <w:trPr>
          <w:cantSplit/>
        </w:trPr>
        <w:tc>
          <w:tcPr>
            <w:tcW w:type="dxa" w:w="4968"/>
            <w:vAlign w:val="center"/>
            <w:shd w:fill="F3F6F8"/>
          </w:tcPr>
          <w:p>
            <w:pPr>
              <w:spacing w:after="60" w:before="60"/>
            </w:pPr>
            <w:r>
              <w:rPr>
                <w:sz w:val="18"/>
              </w:rPr>
              <w:t>Did the action help?</w:t>
            </w:r>
          </w:p>
        </w:tc>
        <w:tc>
          <w:tcPr>
            <w:tcW w:type="dxa" w:w="4968"/>
            <w:vAlign w:val="center"/>
            <w:shd w:fill="F3F6F8"/>
          </w:tcPr>
          <w:p>
            <w:pPr>
              <w:spacing w:after="60" w:before="60"/>
            </w:pPr>
            <w:r>
              <w:rPr>
                <w:sz w:val="18"/>
              </w:rPr>
              <w:t>Review the result, unintended effects, and next step.</w:t>
            </w:r>
          </w:p>
        </w:tc>
      </w:tr>
    </w:tbl>
    <w:p>
      <w:pPr>
        <w:spacing w:after="40"/>
      </w:pPr>
    </w:p>
    <w:p>
      <w:pPr>
        <w:pStyle w:val="Heading1"/>
        <w:keepNext/>
      </w:pPr>
      <w:r>
        <w:t>Trajectory analysis  How blame may move through a network</w:t>
      </w:r>
    </w:p>
    <w:p>
      <w:pPr>
        <w:keepLines/>
        <w:spacing w:before="43" w:after="144"/>
        <w:jc w:val="center"/>
      </w:pPr>
      <w:r>
        <w:drawing>
          <wp:inline xmlns:a="http://schemas.openxmlformats.org/drawingml/2006/main" xmlns:pic="http://schemas.openxmlformats.org/drawingml/2006/picture">
            <wp:extent cx="4114800" cy="2743200"/>
            <wp:docPr id="5" name="Picture 5" descr="An open atlas with several routes represents evidence-led review of possible trajectories." title="Anti Chaos Review"/>
            <wp:cNvGraphicFramePr>
              <a:graphicFrameLocks noChangeAspect="1"/>
            </wp:cNvGraphicFramePr>
            <a:graphic>
              <a:graphicData uri="http://schemas.openxmlformats.org/drawingml/2006/picture">
                <pic:pic>
                  <pic:nvPicPr>
                    <pic:cNvPr id="0" name="anti-chaos-review.jpg"/>
                    <pic:cNvPicPr/>
                  </pic:nvPicPr>
                  <pic:blipFill>
                    <a:blip r:embed="rId14"/>
                    <a:stretch>
                      <a:fillRect/>
                    </a:stretch>
                  </pic:blipFill>
                  <pic:spPr>
                    <a:xfrm>
                      <a:off x="0" y="0"/>
                      <a:ext cx="4114800" cy="2743200"/>
                    </a:xfrm>
                    <a:prstGeom prst="rect"/>
                  </pic:spPr>
                </pic:pic>
              </a:graphicData>
            </a:graphic>
          </wp:inline>
        </w:drawing>
      </w:r>
    </w:p>
    <w:p>
      <w:r>
        <w:t>People often describe a painful pattern as “everyone eventually gets thrown under the bus.” That phrase captures a fear of betrayal, but as a universal claim it cannot be assumed. Some people are blamed, some retain support, some repair a conflict, some leave without a public dispute, and many cases are too incomplete to classify. The task is to test a specific pattern against the whole set of relevant events.</w:t>
      </w:r>
    </w:p>
    <w:p>
      <w:r>
        <w:t>A practical trajectory can be studied in stages: the conditions around a decision; who agreed to what; how credit, access, labor, risk, and protection were allocated; what event created strain; how people responded; how responsibility was assigned; and what happened next. The stages are prompts, not a fixed sequence. A trajectory can end in clarification, shared accountability, repair, continued cooperation, ordinary transition, exclusion, blame transfer, or uncertainty.</w:t>
      </w:r>
    </w:p>
    <w:p>
      <w:r>
        <w:t>Track external evidence separately from internal hypotheses. A person’s motive is not visible simply because another person suffered a cost. Status concerns, fear, competition, self-protection, and accountability avoidance may be hypotheses; they are not findings without supporting evidence. Contact between people, similar phrasing, or a sequence of events does not by itself prove coordination.</w:t>
      </w:r>
    </w:p>
    <w:p>
      <w:r>
        <w:t>To test a broad claim, define the observation window and denominator first. Record all known relevant cases, including counterexamples and unknown outcomes. Describe what would count as blame transfer—for example, withdrawing a prior authorization while assigning sole responsibility to another person—and what would count against the hypothesis. Then choose a safe and proportionate response that protects people and preserves fair review.</w:t>
      </w:r>
    </w:p>
    <w:p>
      <w:pPr>
        <w:pStyle w:val="Heading2"/>
      </w:pPr>
      <w:r>
        <w:t>Trajectory review questions</w:t>
      </w:r>
    </w:p>
    <w:p>
      <w:pPr>
        <w:pStyle w:val="ListBullet"/>
      </w:pPr>
      <w:r>
        <w:t>What was the documented baseline, and what changed?</w:t>
      </w:r>
    </w:p>
    <w:p>
      <w:pPr>
        <w:pStyle w:val="ListBullet"/>
      </w:pPr>
      <w:r>
        <w:t>Who made the decision, who benefited, and who carried the cost?</w:t>
      </w:r>
    </w:p>
    <w:p>
      <w:pPr>
        <w:pStyle w:val="ListBullet"/>
      </w:pPr>
      <w:r>
        <w:t>Was the same standard applied to each person?</w:t>
      </w:r>
    </w:p>
    <w:p>
      <w:pPr>
        <w:pStyle w:val="ListBullet"/>
      </w:pPr>
      <w:r>
        <w:t>What evidence is firsthand, reported, inferred, or missing?</w:t>
      </w:r>
    </w:p>
    <w:p>
      <w:pPr>
        <w:pStyle w:val="ListBullet"/>
      </w:pPr>
      <w:r>
        <w:t>Which alternative explanations fit the record?</w:t>
      </w:r>
    </w:p>
    <w:p>
      <w:pPr>
        <w:pStyle w:val="ListBullet"/>
      </w:pPr>
      <w:r>
        <w:t>What would disconfirm the proposed pattern?</w:t>
      </w:r>
    </w:p>
    <w:p>
      <w:pPr>
        <w:pStyle w:val="ListBullet"/>
      </w:pPr>
      <w:r>
        <w:t>What process change could prevent confusion or unfair blame?</w:t>
      </w:r>
    </w:p>
    <w:p>
      <w:pPr>
        <w:pStyle w:val="Heading1"/>
      </w:pPr>
      <w:r>
        <w:t>Companion materials</w:t>
      </w:r>
    </w:p>
    <w:p>
      <w:r>
        <w:t>The Anti Chaos Practitioner Curriculum provides a nine-module teaching sequence, capstone, organizational implementation playbook, and mastery rubric. The Anti Chaos Practitioner Workbook provides event logs, pattern analysis, system mapping, response planning, and a dedicated trajectory section. The standalone Trajectory Workbook offers deeper practice tracing responsibility and cost across connected networks.</w:t>
      </w:r>
    </w:p>
    <w:sectPr w:rsidR="00FC693F" w:rsidRPr="0006063C" w:rsidSect="00034616">
      <w:footerReference w:type="default" r:id="rId9"/>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Hornbook The Unseen War  |  Working edition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ptos Display" w:hAnsi="Aptos Display"/>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ptos Display" w:hAnsi="Aptos Display"/>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Aptos Display" w:hAnsi="Aptos Display"/>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before="240"/>
      <w:contextualSpacing/>
    </w:pPr>
    <w:rPr>
      <w:rFonts w:asciiTheme="majorHAnsi" w:eastAsiaTheme="majorEastAsia" w:hAnsiTheme="majorHAnsi" w:cstheme="majorBidi" w:ascii="Aptos Display" w:hAnsi="Aptos Display"/>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